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592F5" w14:textId="5117B8BA" w:rsidR="007E3B49" w:rsidRPr="005B1BD9" w:rsidRDefault="007E3B49" w:rsidP="00AA0D1A">
      <w:pPr>
        <w:ind w:left="485" w:hangingChars="202" w:hanging="485"/>
        <w:rPr>
          <w:rFonts w:ascii="標楷體" w:eastAsia="標楷體" w:hAnsi="標楷體"/>
          <w:bCs/>
          <w:szCs w:val="24"/>
          <w:bdr w:val="single" w:sz="4" w:space="0" w:color="auto"/>
        </w:rPr>
      </w:pPr>
      <w:proofErr w:type="spellStart"/>
      <w:r w:rsidRPr="005B1BD9">
        <w:rPr>
          <w:rFonts w:ascii="Calibri" w:eastAsia="標楷體" w:hAnsi="Calibri" w:cs="Calibri"/>
          <w:bCs/>
          <w:szCs w:val="24"/>
          <w:bdr w:val="single" w:sz="4" w:space="0" w:color="auto"/>
        </w:rPr>
        <w:t>Mga</w:t>
      </w:r>
      <w:proofErr w:type="spellEnd"/>
      <w:r w:rsidRPr="005B1BD9">
        <w:rPr>
          <w:rFonts w:ascii="Calibri" w:eastAsia="標楷體" w:hAnsi="Calibri" w:cs="Calibri"/>
          <w:bCs/>
          <w:szCs w:val="24"/>
          <w:bdr w:val="single" w:sz="4" w:space="0" w:color="auto"/>
        </w:rPr>
        <w:t xml:space="preserve"> </w:t>
      </w:r>
      <w:proofErr w:type="spellStart"/>
      <w:r w:rsidRPr="005B1BD9">
        <w:rPr>
          <w:rFonts w:ascii="Calibri" w:eastAsia="標楷體" w:hAnsi="Calibri" w:cs="Calibri"/>
          <w:bCs/>
          <w:szCs w:val="24"/>
          <w:bdr w:val="single" w:sz="4" w:space="0" w:color="auto"/>
        </w:rPr>
        <w:t>bayad</w:t>
      </w:r>
      <w:proofErr w:type="spellEnd"/>
      <w:r w:rsidRPr="005B1BD9">
        <w:rPr>
          <w:rFonts w:ascii="Calibri" w:eastAsia="標楷體" w:hAnsi="Calibri" w:cs="Calibri"/>
          <w:bCs/>
          <w:szCs w:val="24"/>
          <w:bdr w:val="single" w:sz="4" w:space="0" w:color="auto"/>
        </w:rPr>
        <w:t xml:space="preserve"> </w:t>
      </w:r>
      <w:proofErr w:type="spellStart"/>
      <w:r w:rsidRPr="005B1BD9">
        <w:rPr>
          <w:rFonts w:ascii="Calibri" w:eastAsia="標楷體" w:hAnsi="Calibri" w:cs="Calibri"/>
          <w:bCs/>
          <w:szCs w:val="24"/>
          <w:bdr w:val="single" w:sz="4" w:space="0" w:color="auto"/>
        </w:rPr>
        <w:t>sa</w:t>
      </w:r>
      <w:proofErr w:type="spellEnd"/>
      <w:r w:rsidRPr="005B1BD9">
        <w:rPr>
          <w:rFonts w:ascii="Calibri" w:eastAsia="標楷體" w:hAnsi="Calibri" w:cs="Calibri"/>
          <w:bCs/>
          <w:szCs w:val="24"/>
          <w:bdr w:val="single" w:sz="4" w:space="0" w:color="auto"/>
        </w:rPr>
        <w:t xml:space="preserve"> </w:t>
      </w:r>
      <w:proofErr w:type="spellStart"/>
      <w:r w:rsidRPr="005B1BD9">
        <w:rPr>
          <w:rFonts w:ascii="Calibri" w:eastAsia="標楷體" w:hAnsi="Calibri" w:cs="Calibri"/>
          <w:bCs/>
          <w:szCs w:val="24"/>
          <w:bdr w:val="single" w:sz="4" w:space="0" w:color="auto"/>
        </w:rPr>
        <w:t>dayuhang</w:t>
      </w:r>
      <w:proofErr w:type="spellEnd"/>
      <w:r w:rsidRPr="005B1BD9">
        <w:rPr>
          <w:rFonts w:ascii="Calibri" w:eastAsia="標楷體" w:hAnsi="Calibri" w:cs="Calibri"/>
          <w:bCs/>
          <w:szCs w:val="24"/>
          <w:bdr w:val="single" w:sz="4" w:space="0" w:color="auto"/>
        </w:rPr>
        <w:t xml:space="preserve"> </w:t>
      </w:r>
      <w:proofErr w:type="spellStart"/>
      <w:r w:rsidRPr="005B1BD9">
        <w:rPr>
          <w:rFonts w:ascii="Calibri" w:eastAsia="標楷體" w:hAnsi="Calibri" w:cs="Calibri"/>
          <w:bCs/>
          <w:szCs w:val="24"/>
          <w:bdr w:val="single" w:sz="4" w:space="0" w:color="auto"/>
        </w:rPr>
        <w:t>ahensya</w:t>
      </w:r>
      <w:proofErr w:type="spellEnd"/>
      <w:r w:rsidRPr="005B1BD9">
        <w:rPr>
          <w:rFonts w:ascii="標楷體" w:eastAsia="標楷體" w:hAnsi="標楷體" w:hint="eastAsia"/>
          <w:bCs/>
          <w:szCs w:val="24"/>
          <w:bdr w:val="single" w:sz="4" w:space="0" w:color="auto"/>
        </w:rPr>
        <w:t xml:space="preserve"> </w:t>
      </w:r>
    </w:p>
    <w:p w14:paraId="16168C3E" w14:textId="77777777" w:rsidR="000B028D" w:rsidRPr="003627D0" w:rsidRDefault="000B028D" w:rsidP="00AA0D1A">
      <w:pPr>
        <w:ind w:left="485" w:hangingChars="202" w:hanging="485"/>
        <w:rPr>
          <w:rFonts w:ascii="標楷體" w:eastAsia="標楷體" w:hAnsi="標楷體"/>
          <w:szCs w:val="24"/>
          <w:bdr w:val="single" w:sz="4" w:space="0" w:color="auto"/>
        </w:rPr>
      </w:pPr>
    </w:p>
    <w:p w14:paraId="02139AD9" w14:textId="51CC7FB5" w:rsidR="007E3B49" w:rsidRPr="00263685" w:rsidRDefault="007E3B49" w:rsidP="00DE3BE6">
      <w:pPr>
        <w:pStyle w:val="a4"/>
        <w:numPr>
          <w:ilvl w:val="0"/>
          <w:numId w:val="1"/>
        </w:numPr>
        <w:jc w:val="both"/>
        <w:rPr>
          <w:rFonts w:ascii="Calibri" w:eastAsia="標楷體" w:hAnsi="Calibri" w:cs="Calibri"/>
          <w:szCs w:val="24"/>
        </w:rPr>
      </w:pPr>
      <w:proofErr w:type="spellStart"/>
      <w:r w:rsidRPr="00263685">
        <w:rPr>
          <w:rFonts w:ascii="Calibri" w:eastAsia="標楷體" w:hAnsi="Calibri" w:cs="Calibri"/>
          <w:szCs w:val="24"/>
        </w:rPr>
        <w:t>Karamihan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dayuhang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manggagawa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ay </w:t>
      </w:r>
      <w:proofErr w:type="spellStart"/>
      <w:r w:rsidRPr="00263685">
        <w:rPr>
          <w:rFonts w:ascii="Calibri" w:eastAsia="標楷體" w:hAnsi="Calibri" w:cs="Calibri"/>
          <w:szCs w:val="24"/>
        </w:rPr>
        <w:t>pumupunta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Taiwan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pamamagitan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pagpapakilala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dayuhang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ahensya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tagapamagitan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, kaya </w:t>
      </w:r>
      <w:proofErr w:type="spellStart"/>
      <w:r w:rsidRPr="00263685">
        <w:rPr>
          <w:rFonts w:ascii="Calibri" w:eastAsia="標楷體" w:hAnsi="Calibri" w:cs="Calibri"/>
          <w:szCs w:val="24"/>
        </w:rPr>
        <w:t>mayroong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pagbuo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bayad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dayuhang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ahensya</w:t>
      </w:r>
      <w:proofErr w:type="spellEnd"/>
      <w:r w:rsidR="00AA0D1A" w:rsidRPr="00263685">
        <w:rPr>
          <w:rFonts w:ascii="Calibri" w:eastAsia="標楷體" w:hAnsi="Calibri" w:cs="Calibri"/>
          <w:szCs w:val="24"/>
        </w:rPr>
        <w:t xml:space="preserve">, </w:t>
      </w:r>
      <w:proofErr w:type="spellStart"/>
      <w:r w:rsidR="00AA0D1A" w:rsidRPr="00263685">
        <w:rPr>
          <w:rFonts w:ascii="Calibri" w:eastAsia="標楷體" w:hAnsi="Calibri" w:cs="Calibri"/>
          <w:szCs w:val="24"/>
        </w:rPr>
        <w:t>samantala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bayad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broker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labas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bansa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at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kaugnay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gastos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kinakailangan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upang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magtrabaho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Taiwan (</w:t>
      </w:r>
      <w:proofErr w:type="spellStart"/>
      <w:r w:rsidRPr="00263685">
        <w:rPr>
          <w:rFonts w:ascii="Calibri" w:eastAsia="標楷體" w:hAnsi="Calibri" w:cs="Calibri"/>
          <w:szCs w:val="24"/>
        </w:rPr>
        <w:t>tulad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bayarin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pagsusuri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kalusugan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,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bayarin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pagsasanay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,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bayarin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pasaporte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,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bayarin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visa, </w:t>
      </w:r>
      <w:proofErr w:type="spellStart"/>
      <w:r w:rsidRPr="00263685">
        <w:rPr>
          <w:rFonts w:ascii="Calibri" w:eastAsia="標楷體" w:hAnsi="Calibri" w:cs="Calibri"/>
          <w:szCs w:val="24"/>
        </w:rPr>
        <w:t>tiket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eroplano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at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bayarin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pamamahala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, </w:t>
      </w:r>
      <w:proofErr w:type="spellStart"/>
      <w:r w:rsidRPr="00263685">
        <w:rPr>
          <w:rFonts w:ascii="Calibri" w:eastAsia="標楷體" w:hAnsi="Calibri" w:cs="Calibri"/>
          <w:szCs w:val="24"/>
        </w:rPr>
        <w:t>atbp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.), </w:t>
      </w:r>
      <w:proofErr w:type="spellStart"/>
      <w:r w:rsidRPr="00263685">
        <w:rPr>
          <w:rFonts w:ascii="Calibri" w:eastAsia="標楷體" w:hAnsi="Calibri" w:cs="Calibri"/>
          <w:szCs w:val="24"/>
        </w:rPr>
        <w:t>kadalasan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ay </w:t>
      </w:r>
      <w:proofErr w:type="spellStart"/>
      <w:r w:rsidRPr="00263685">
        <w:rPr>
          <w:rFonts w:ascii="Calibri" w:eastAsia="標楷體" w:hAnsi="Calibri" w:cs="Calibri"/>
          <w:szCs w:val="24"/>
        </w:rPr>
        <w:t>binabayaran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pamamagitan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pautang</w:t>
      </w:r>
      <w:proofErr w:type="spellEnd"/>
      <w:r w:rsidRPr="00263685">
        <w:rPr>
          <w:rFonts w:ascii="Calibri" w:eastAsia="標楷體" w:hAnsi="Calibri" w:cs="Calibri"/>
          <w:szCs w:val="24"/>
        </w:rPr>
        <w:t>.</w:t>
      </w:r>
    </w:p>
    <w:p w14:paraId="3C6D8D24" w14:textId="77777777" w:rsidR="00263685" w:rsidRPr="00263685" w:rsidRDefault="00263685" w:rsidP="00263685">
      <w:pPr>
        <w:pStyle w:val="a4"/>
        <w:rPr>
          <w:rFonts w:ascii="Calibri" w:eastAsia="標楷體" w:hAnsi="Calibri" w:cs="Calibri"/>
          <w:szCs w:val="24"/>
        </w:rPr>
      </w:pPr>
    </w:p>
    <w:p w14:paraId="45282224" w14:textId="4E79878B" w:rsidR="007E3B49" w:rsidRPr="00263685" w:rsidRDefault="007E3B49" w:rsidP="00DE3BE6">
      <w:pPr>
        <w:pStyle w:val="a4"/>
        <w:numPr>
          <w:ilvl w:val="0"/>
          <w:numId w:val="1"/>
        </w:numPr>
        <w:jc w:val="both"/>
        <w:rPr>
          <w:rFonts w:ascii="Calibri" w:eastAsia="標楷體" w:hAnsi="Calibri" w:cs="Calibri"/>
          <w:szCs w:val="24"/>
        </w:rPr>
      </w:pPr>
      <w:r w:rsidRPr="00263685">
        <w:rPr>
          <w:rFonts w:ascii="Calibri" w:eastAsia="標楷體" w:hAnsi="Calibri" w:cs="Calibri"/>
          <w:szCs w:val="24"/>
        </w:rPr>
        <w:t xml:space="preserve">At ang </w:t>
      </w:r>
      <w:proofErr w:type="spellStart"/>
      <w:r w:rsidRPr="00263685">
        <w:rPr>
          <w:rFonts w:ascii="Calibri" w:eastAsia="標楷體" w:hAnsi="Calibri" w:cs="Calibri"/>
          <w:szCs w:val="24"/>
        </w:rPr>
        <w:t>bayad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broker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labas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bansa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ay </w:t>
      </w:r>
      <w:proofErr w:type="spellStart"/>
      <w:r w:rsidRPr="00263685">
        <w:rPr>
          <w:rFonts w:ascii="Calibri" w:eastAsia="標楷體" w:hAnsi="Calibri" w:cs="Calibri"/>
          <w:szCs w:val="24"/>
        </w:rPr>
        <w:t>ligal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pinamamahalaan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bawat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pinagmulang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bansa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dayuhang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manggagawa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pagkatapos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sumangguni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kondisyon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paggawa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bawat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bansang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nagluluwas</w:t>
      </w:r>
      <w:proofErr w:type="spellEnd"/>
      <w:r w:rsidRPr="00263685">
        <w:rPr>
          <w:rFonts w:ascii="Calibri" w:eastAsia="標楷體" w:hAnsi="Calibri" w:cs="Calibri"/>
          <w:szCs w:val="24"/>
        </w:rPr>
        <w:t>.</w:t>
      </w:r>
      <w:r w:rsidRPr="00263685">
        <w:rPr>
          <w:szCs w:val="24"/>
        </w:rPr>
        <w:t xml:space="preserve"> </w:t>
      </w:r>
      <w:r w:rsidRPr="00263685">
        <w:rPr>
          <w:rFonts w:ascii="Calibri" w:eastAsia="標楷體" w:hAnsi="Calibri" w:cs="Calibri"/>
          <w:szCs w:val="24"/>
        </w:rPr>
        <w:t xml:space="preserve">Ang </w:t>
      </w:r>
      <w:proofErr w:type="spellStart"/>
      <w:r w:rsidRPr="00263685">
        <w:rPr>
          <w:rFonts w:ascii="Calibri" w:eastAsia="標楷體" w:hAnsi="Calibri" w:cs="Calibri"/>
          <w:szCs w:val="24"/>
        </w:rPr>
        <w:t>ating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bansa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ay </w:t>
      </w:r>
      <w:proofErr w:type="spellStart"/>
      <w:r w:rsidRPr="00263685">
        <w:rPr>
          <w:rFonts w:ascii="Calibri" w:eastAsia="標楷體" w:hAnsi="Calibri" w:cs="Calibri"/>
          <w:szCs w:val="24"/>
        </w:rPr>
        <w:t>dati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nagmungkahi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dayuhang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0B028D">
        <w:rPr>
          <w:rFonts w:ascii="Calibri" w:eastAsia="標楷體" w:hAnsi="Calibri" w:cs="Calibri"/>
          <w:szCs w:val="24"/>
        </w:rPr>
        <w:t>pinagmu</w:t>
      </w:r>
      <w:r w:rsidR="004D5C6C" w:rsidRPr="000B028D">
        <w:rPr>
          <w:rFonts w:ascii="Calibri" w:eastAsia="標楷體" w:hAnsi="Calibri" w:cs="Calibri"/>
          <w:szCs w:val="24"/>
        </w:rPr>
        <w:t>mu</w:t>
      </w:r>
      <w:r w:rsidRPr="000B028D">
        <w:rPr>
          <w:rFonts w:ascii="Calibri" w:eastAsia="標楷體" w:hAnsi="Calibri" w:cs="Calibri"/>
          <w:szCs w:val="24"/>
        </w:rPr>
        <w:t>lan</w:t>
      </w:r>
      <w:r w:rsidR="00263685" w:rsidRPr="000B028D">
        <w:rPr>
          <w:rFonts w:ascii="Calibri" w:eastAsia="標楷體" w:hAnsi="Calibri" w:cs="Calibri"/>
          <w:szCs w:val="24"/>
        </w:rPr>
        <w:t>g</w:t>
      </w:r>
      <w:proofErr w:type="spellEnd"/>
      <w:r w:rsidR="00263685"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bansa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Pr="00263685">
        <w:rPr>
          <w:rFonts w:ascii="Calibri" w:eastAsia="標楷體" w:hAnsi="Calibri" w:cs="Calibri"/>
          <w:szCs w:val="24"/>
        </w:rPr>
        <w:t>bayad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broker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labas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bansa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ay </w:t>
      </w:r>
      <w:proofErr w:type="spellStart"/>
      <w:r w:rsidRPr="00263685">
        <w:rPr>
          <w:rFonts w:ascii="Calibri" w:eastAsia="標楷體" w:hAnsi="Calibri" w:cs="Calibri"/>
          <w:szCs w:val="24"/>
        </w:rPr>
        <w:t>dapat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limitahan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isang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buwan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suweldo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dayuhang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manggagawa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Taiwan, at </w:t>
      </w:r>
      <w:proofErr w:type="spellStart"/>
      <w:r w:rsidRPr="00263685">
        <w:rPr>
          <w:rFonts w:ascii="Calibri" w:eastAsia="標楷體" w:hAnsi="Calibri" w:cs="Calibri"/>
          <w:szCs w:val="24"/>
        </w:rPr>
        <w:t>iminungkahi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din </w:t>
      </w:r>
      <w:proofErr w:type="spellStart"/>
      <w:r w:rsidRPr="00263685">
        <w:rPr>
          <w:rFonts w:ascii="Calibri" w:eastAsia="標楷體" w:hAnsi="Calibri" w:cs="Calibri"/>
          <w:szCs w:val="24"/>
        </w:rPr>
        <w:t>na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Pr="00263685">
        <w:rPr>
          <w:rFonts w:ascii="Calibri" w:eastAsia="標楷體" w:hAnsi="Calibri" w:cs="Calibri"/>
          <w:szCs w:val="24"/>
        </w:rPr>
        <w:t>interes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mga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dayuhang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manggagawa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umuutang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ibang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bansa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ay </w:t>
      </w:r>
      <w:proofErr w:type="spellStart"/>
      <w:r w:rsidRPr="00263685">
        <w:rPr>
          <w:rFonts w:ascii="Calibri" w:eastAsia="標楷體" w:hAnsi="Calibri" w:cs="Calibri"/>
          <w:szCs w:val="24"/>
        </w:rPr>
        <w:t>dapat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babaan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upang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maiwasan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Pr="00263685">
        <w:rPr>
          <w:rFonts w:ascii="Calibri" w:eastAsia="標楷體" w:hAnsi="Calibri" w:cs="Calibri"/>
          <w:szCs w:val="24"/>
        </w:rPr>
        <w:t>mabigat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pinansiyal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na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pasanin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263685">
        <w:rPr>
          <w:rFonts w:ascii="Calibri" w:eastAsia="標楷體" w:hAnsi="Calibri" w:cs="Calibri"/>
          <w:szCs w:val="24"/>
        </w:rPr>
        <w:t>dayuhang</w:t>
      </w:r>
      <w:proofErr w:type="spellEnd"/>
      <w:r w:rsidRPr="00263685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263685">
        <w:rPr>
          <w:rFonts w:ascii="Calibri" w:eastAsia="標楷體" w:hAnsi="Calibri" w:cs="Calibri"/>
          <w:szCs w:val="24"/>
        </w:rPr>
        <w:t>manggagawa</w:t>
      </w:r>
      <w:proofErr w:type="spellEnd"/>
      <w:r w:rsidRPr="00263685">
        <w:rPr>
          <w:rFonts w:ascii="Calibri" w:eastAsia="標楷體" w:hAnsi="Calibri" w:cs="Calibri"/>
          <w:szCs w:val="24"/>
        </w:rPr>
        <w:t>.</w:t>
      </w:r>
    </w:p>
    <w:p w14:paraId="73675A4B" w14:textId="77777777" w:rsidR="00263685" w:rsidRPr="00263685" w:rsidRDefault="00263685" w:rsidP="00DE3BE6">
      <w:pPr>
        <w:pStyle w:val="a4"/>
        <w:jc w:val="both"/>
        <w:rPr>
          <w:rFonts w:ascii="Calibri" w:eastAsia="標楷體" w:hAnsi="Calibri" w:cs="Calibri"/>
          <w:szCs w:val="24"/>
        </w:rPr>
      </w:pPr>
    </w:p>
    <w:p w14:paraId="514CB744" w14:textId="6AF36CFD" w:rsidR="00263685" w:rsidRDefault="007E3B49" w:rsidP="00DE3BE6">
      <w:pPr>
        <w:pStyle w:val="a4"/>
        <w:numPr>
          <w:ilvl w:val="0"/>
          <w:numId w:val="1"/>
        </w:numPr>
        <w:jc w:val="both"/>
        <w:rPr>
          <w:rFonts w:ascii="Calibri" w:eastAsia="標楷體" w:hAnsi="Calibri" w:cs="Calibri"/>
          <w:szCs w:val="24"/>
        </w:rPr>
      </w:pPr>
      <w:proofErr w:type="spellStart"/>
      <w:r w:rsidRPr="007B6894">
        <w:rPr>
          <w:rFonts w:ascii="Calibri" w:eastAsia="標楷體" w:hAnsi="Calibri" w:cs="Calibri"/>
          <w:szCs w:val="24"/>
        </w:rPr>
        <w:t>Upang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maging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malinaw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na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pamantayan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Pr="007B6894">
        <w:rPr>
          <w:rFonts w:ascii="Calibri" w:eastAsia="標楷體" w:hAnsi="Calibri" w:cs="Calibri"/>
          <w:szCs w:val="24"/>
        </w:rPr>
        <w:t>mga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bayad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broker </w:t>
      </w:r>
      <w:r w:rsidR="008725AE" w:rsidRPr="007B6894">
        <w:rPr>
          <w:rFonts w:ascii="Calibri" w:eastAsia="標楷體" w:hAnsi="Calibri" w:cs="Calibri"/>
          <w:szCs w:val="24"/>
        </w:rPr>
        <w:t xml:space="preserve">at </w:t>
      </w:r>
      <w:proofErr w:type="spellStart"/>
      <w:r w:rsidR="008725AE" w:rsidRPr="007B6894">
        <w:rPr>
          <w:rFonts w:ascii="Calibri" w:eastAsia="標楷體" w:hAnsi="Calibri" w:cs="Calibri"/>
          <w:szCs w:val="24"/>
        </w:rPr>
        <w:t>mga</w:t>
      </w:r>
      <w:proofErr w:type="spellEnd"/>
      <w:r w:rsidR="008725AE"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8725AE" w:rsidRPr="007B6894">
        <w:rPr>
          <w:rFonts w:ascii="Calibri" w:eastAsia="標楷體" w:hAnsi="Calibri" w:cs="Calibri"/>
          <w:szCs w:val="24"/>
        </w:rPr>
        <w:t>kaugnay</w:t>
      </w:r>
      <w:proofErr w:type="spellEnd"/>
      <w:r w:rsidR="008725AE"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8725AE" w:rsidRPr="007B6894">
        <w:rPr>
          <w:rFonts w:ascii="Calibri" w:eastAsia="標楷體" w:hAnsi="Calibri" w:cs="Calibri"/>
          <w:szCs w:val="24"/>
        </w:rPr>
        <w:t>na</w:t>
      </w:r>
      <w:proofErr w:type="spellEnd"/>
      <w:r w:rsidR="008725AE"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8725AE" w:rsidRPr="007B6894">
        <w:rPr>
          <w:rFonts w:ascii="Calibri" w:eastAsia="標楷體" w:hAnsi="Calibri" w:cs="Calibri"/>
          <w:szCs w:val="24"/>
        </w:rPr>
        <w:t>bayarin</w:t>
      </w:r>
      <w:proofErr w:type="spellEnd"/>
      <w:r w:rsidR="008725AE" w:rsidRPr="007B6894">
        <w:rPr>
          <w:rFonts w:ascii="Calibri" w:eastAsia="標楷體" w:hAnsi="Calibri" w:cs="Calibri"/>
          <w:szCs w:val="24"/>
        </w:rPr>
        <w:t xml:space="preserve"> </w:t>
      </w:r>
      <w:r w:rsidRPr="007B6894">
        <w:rPr>
          <w:rFonts w:ascii="Calibri" w:eastAsia="標楷體" w:hAnsi="Calibri" w:cs="Calibri"/>
          <w:szCs w:val="24"/>
        </w:rPr>
        <w:t xml:space="preserve">ng </w:t>
      </w:r>
      <w:proofErr w:type="spellStart"/>
      <w:r w:rsidRPr="007B6894">
        <w:rPr>
          <w:rFonts w:ascii="Calibri" w:eastAsia="標楷體" w:hAnsi="Calibri" w:cs="Calibri"/>
          <w:szCs w:val="24"/>
        </w:rPr>
        <w:t>mga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dayuhang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manggagawa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bago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pumunta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Taiwan para </w:t>
      </w:r>
      <w:proofErr w:type="spellStart"/>
      <w:r w:rsidRPr="007B6894">
        <w:rPr>
          <w:rFonts w:ascii="Calibri" w:eastAsia="標楷體" w:hAnsi="Calibri" w:cs="Calibri"/>
          <w:szCs w:val="24"/>
        </w:rPr>
        <w:t>magtrabaho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, at </w:t>
      </w:r>
      <w:proofErr w:type="spellStart"/>
      <w:r w:rsidRPr="007B6894">
        <w:rPr>
          <w:rFonts w:ascii="Calibri" w:eastAsia="標楷體" w:hAnsi="Calibri" w:cs="Calibri"/>
          <w:szCs w:val="24"/>
        </w:rPr>
        <w:t>upang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maiwasan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7B6894">
        <w:rPr>
          <w:rFonts w:ascii="Calibri" w:eastAsia="標楷體" w:hAnsi="Calibri" w:cs="Calibri"/>
          <w:szCs w:val="24"/>
        </w:rPr>
        <w:t>mga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ito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hindi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wastong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pagsasamantala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bago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pumasok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Taiwan, ang </w:t>
      </w:r>
      <w:proofErr w:type="spellStart"/>
      <w:r w:rsidRPr="007B6894">
        <w:rPr>
          <w:rFonts w:ascii="Calibri" w:eastAsia="標楷體" w:hAnsi="Calibri" w:cs="Calibri"/>
          <w:szCs w:val="24"/>
        </w:rPr>
        <w:t>mga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bayarin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382BD6">
        <w:rPr>
          <w:rFonts w:ascii="Calibri" w:eastAsia="標楷體" w:hAnsi="Calibri" w:cs="Calibri"/>
          <w:szCs w:val="24"/>
        </w:rPr>
        <w:t>n</w:t>
      </w:r>
      <w:r w:rsidRPr="007B6894">
        <w:rPr>
          <w:rFonts w:ascii="Calibri" w:eastAsia="標楷體" w:hAnsi="Calibri" w:cs="Calibri"/>
          <w:szCs w:val="24"/>
        </w:rPr>
        <w:t>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inutang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7B6894">
        <w:rPr>
          <w:rFonts w:ascii="Calibri" w:eastAsia="標楷體" w:hAnsi="Calibri" w:cs="Calibri"/>
          <w:szCs w:val="24"/>
        </w:rPr>
        <w:t>mga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dayuhang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manggagawa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bago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pumunta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Taiwan para </w:t>
      </w:r>
      <w:proofErr w:type="spellStart"/>
      <w:r w:rsidRPr="007B6894">
        <w:rPr>
          <w:rFonts w:ascii="Calibri" w:eastAsia="標楷體" w:hAnsi="Calibri" w:cs="Calibri"/>
          <w:szCs w:val="24"/>
        </w:rPr>
        <w:t>magtrabaho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ay </w:t>
      </w:r>
      <w:proofErr w:type="spellStart"/>
      <w:r w:rsidRPr="007B6894">
        <w:rPr>
          <w:rFonts w:ascii="Calibri" w:eastAsia="標楷體" w:hAnsi="Calibri" w:cs="Calibri"/>
          <w:szCs w:val="24"/>
        </w:rPr>
        <w:t>dapat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nakatala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"Affidavit ng </w:t>
      </w:r>
      <w:proofErr w:type="spellStart"/>
      <w:r w:rsidRPr="007B6894">
        <w:rPr>
          <w:rFonts w:ascii="Calibri" w:eastAsia="標楷體" w:hAnsi="Calibri" w:cs="Calibri"/>
          <w:szCs w:val="24"/>
        </w:rPr>
        <w:t>sahod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at </w:t>
      </w:r>
      <w:proofErr w:type="spellStart"/>
      <w:r w:rsidRPr="007B6894">
        <w:rPr>
          <w:rFonts w:ascii="Calibri" w:eastAsia="標楷體" w:hAnsi="Calibri" w:cs="Calibri"/>
          <w:szCs w:val="24"/>
        </w:rPr>
        <w:t>mga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gastos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7B6894">
        <w:rPr>
          <w:rFonts w:ascii="Calibri" w:eastAsia="標楷體" w:hAnsi="Calibri" w:cs="Calibri"/>
          <w:szCs w:val="24"/>
        </w:rPr>
        <w:t>mga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dayuhang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nagtatrabaho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Taiwan". </w:t>
      </w:r>
      <w:r w:rsidR="000A5E7E">
        <w:rPr>
          <w:rFonts w:ascii="Calibri" w:eastAsia="標楷體" w:hAnsi="Calibri" w:cs="Calibri"/>
          <w:szCs w:val="24"/>
        </w:rPr>
        <w:t xml:space="preserve"> </w:t>
      </w:r>
      <w:r w:rsidRPr="007B6894">
        <w:rPr>
          <w:rFonts w:ascii="Calibri" w:eastAsia="標楷體" w:hAnsi="Calibri" w:cs="Calibri"/>
          <w:szCs w:val="24"/>
        </w:rPr>
        <w:t xml:space="preserve">Ang </w:t>
      </w:r>
      <w:proofErr w:type="spellStart"/>
      <w:r w:rsidRPr="007B6894">
        <w:rPr>
          <w:rFonts w:ascii="Calibri" w:eastAsia="標楷體" w:hAnsi="Calibri" w:cs="Calibri"/>
          <w:szCs w:val="24"/>
        </w:rPr>
        <w:t>ating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bansa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ay </w:t>
      </w:r>
      <w:proofErr w:type="spellStart"/>
      <w:r w:rsidRPr="007B6894">
        <w:rPr>
          <w:rFonts w:ascii="Calibri" w:eastAsia="標楷體" w:hAnsi="Calibri" w:cs="Calibri"/>
          <w:szCs w:val="24"/>
        </w:rPr>
        <w:t>patuloy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na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nagdaraos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7B6894">
        <w:rPr>
          <w:rFonts w:ascii="Calibri" w:eastAsia="標楷體" w:hAnsi="Calibri" w:cs="Calibri"/>
          <w:szCs w:val="24"/>
        </w:rPr>
        <w:t>mga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regular </w:t>
      </w:r>
      <w:proofErr w:type="spellStart"/>
      <w:r w:rsidRPr="007B6894">
        <w:rPr>
          <w:rFonts w:ascii="Calibri" w:eastAsia="標楷體" w:hAnsi="Calibri" w:cs="Calibri"/>
          <w:szCs w:val="24"/>
        </w:rPr>
        <w:t>na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kumperensya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ng bilateral </w:t>
      </w:r>
      <w:proofErr w:type="spellStart"/>
      <w:r w:rsidRPr="007B6894">
        <w:rPr>
          <w:rFonts w:ascii="Calibri" w:eastAsia="標楷體" w:hAnsi="Calibri" w:cs="Calibri"/>
          <w:szCs w:val="24"/>
        </w:rPr>
        <w:t>na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pakikipagtulungan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paggawa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, at </w:t>
      </w:r>
      <w:proofErr w:type="spellStart"/>
      <w:r w:rsidRPr="007B6894">
        <w:rPr>
          <w:rFonts w:ascii="Calibri" w:eastAsia="標楷體" w:hAnsi="Calibri" w:cs="Calibri"/>
          <w:szCs w:val="24"/>
        </w:rPr>
        <w:t>humihiling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lahat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7B6894">
        <w:rPr>
          <w:rFonts w:ascii="Calibri" w:eastAsia="標楷體" w:hAnsi="Calibri" w:cs="Calibri"/>
          <w:szCs w:val="24"/>
        </w:rPr>
        <w:t>mga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dayuhang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0A5E7E">
        <w:rPr>
          <w:rFonts w:ascii="Calibri" w:eastAsia="標楷體" w:hAnsi="Calibri" w:cs="Calibri"/>
          <w:szCs w:val="24"/>
        </w:rPr>
        <w:t>pinagmumulang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bansa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na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palakasin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Pr="007B6894">
        <w:rPr>
          <w:rFonts w:ascii="Calibri" w:eastAsia="標楷體" w:hAnsi="Calibri" w:cs="Calibri"/>
          <w:szCs w:val="24"/>
        </w:rPr>
        <w:t>pamamahala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7B6894">
        <w:rPr>
          <w:rFonts w:ascii="Calibri" w:eastAsia="標楷體" w:hAnsi="Calibri" w:cs="Calibri"/>
          <w:szCs w:val="24"/>
        </w:rPr>
        <w:t>mga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bayad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broker </w:t>
      </w:r>
      <w:proofErr w:type="spellStart"/>
      <w:r w:rsidRPr="007B6894">
        <w:rPr>
          <w:rFonts w:ascii="Calibri" w:eastAsia="標楷體" w:hAnsi="Calibri" w:cs="Calibri"/>
          <w:szCs w:val="24"/>
        </w:rPr>
        <w:t>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labas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7B6894">
        <w:rPr>
          <w:rFonts w:ascii="Calibri" w:eastAsia="標楷體" w:hAnsi="Calibri" w:cs="Calibri"/>
          <w:szCs w:val="24"/>
        </w:rPr>
        <w:t>bansa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at </w:t>
      </w:r>
      <w:proofErr w:type="spellStart"/>
      <w:r w:rsidRPr="007B6894">
        <w:rPr>
          <w:rFonts w:ascii="Calibri" w:eastAsia="標楷體" w:hAnsi="Calibri" w:cs="Calibri"/>
          <w:szCs w:val="24"/>
        </w:rPr>
        <w:t>mga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kaugnay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na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7B6894">
        <w:rPr>
          <w:rFonts w:ascii="Calibri" w:eastAsia="標楷體" w:hAnsi="Calibri" w:cs="Calibri"/>
          <w:szCs w:val="24"/>
        </w:rPr>
        <w:t>gastusin</w:t>
      </w:r>
      <w:proofErr w:type="spellEnd"/>
      <w:r w:rsidRPr="007B6894">
        <w:rPr>
          <w:rFonts w:ascii="Calibri" w:eastAsia="標楷體" w:hAnsi="Calibri" w:cs="Calibri"/>
          <w:szCs w:val="24"/>
        </w:rPr>
        <w:t xml:space="preserve">, at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malinaw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na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itakda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mga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kaugnay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na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bayarin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at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mga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pamantayan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ng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halaga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r w:rsidR="007B6894">
        <w:rPr>
          <w:rFonts w:ascii="Calibri" w:eastAsia="標楷體" w:hAnsi="Calibri" w:cs="Calibri"/>
          <w:szCs w:val="24"/>
        </w:rPr>
        <w:t xml:space="preserve">para </w:t>
      </w:r>
      <w:proofErr w:type="spellStart"/>
      <w:r w:rsidR="007B6894">
        <w:rPr>
          <w:rFonts w:ascii="Calibri" w:eastAsia="標楷體" w:hAnsi="Calibri" w:cs="Calibri"/>
          <w:szCs w:val="24"/>
        </w:rPr>
        <w:t>sa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mga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dayuhang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manggagawa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pumunta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r w:rsidR="007B6894">
        <w:rPr>
          <w:rFonts w:ascii="Calibri" w:eastAsia="標楷體" w:hAnsi="Calibri" w:cs="Calibri"/>
          <w:szCs w:val="24"/>
        </w:rPr>
        <w:t xml:space="preserve">ng </w:t>
      </w:r>
      <w:r w:rsidR="007B6894" w:rsidRPr="003627D0">
        <w:rPr>
          <w:rFonts w:ascii="Calibri" w:eastAsia="標楷體" w:hAnsi="Calibri" w:cs="Calibri"/>
          <w:szCs w:val="24"/>
        </w:rPr>
        <w:t xml:space="preserve">Taiwan,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bilang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karagdagan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, ang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lahat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ng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mga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bansang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pinanggalingan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ng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dayuhang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manggagawa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ay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hinihiling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na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palakasin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inspeksyon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ng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mga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dayuhang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ahensya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ng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tagapamagitan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upang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protektahan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mga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karapatan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at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interes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ng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mga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dayuhang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="007B6894" w:rsidRPr="003627D0">
        <w:rPr>
          <w:rFonts w:ascii="Calibri" w:eastAsia="標楷體" w:hAnsi="Calibri" w:cs="Calibri"/>
          <w:szCs w:val="24"/>
        </w:rPr>
        <w:t>manggagawa</w:t>
      </w:r>
      <w:proofErr w:type="spellEnd"/>
      <w:r w:rsidR="007B6894" w:rsidRPr="003627D0">
        <w:rPr>
          <w:rFonts w:ascii="Calibri" w:eastAsia="標楷體" w:hAnsi="Calibri" w:cs="Calibri"/>
          <w:szCs w:val="24"/>
        </w:rPr>
        <w:t xml:space="preserve">.   </w:t>
      </w:r>
    </w:p>
    <w:p w14:paraId="24B7E859" w14:textId="77777777" w:rsidR="007B6894" w:rsidRPr="007B6894" w:rsidRDefault="007B6894" w:rsidP="007B6894">
      <w:pPr>
        <w:pStyle w:val="a4"/>
        <w:rPr>
          <w:rFonts w:ascii="Calibri" w:eastAsia="標楷體" w:hAnsi="Calibri" w:cs="Calibri"/>
          <w:szCs w:val="24"/>
        </w:rPr>
      </w:pPr>
    </w:p>
    <w:p w14:paraId="65C3A330" w14:textId="2D467855" w:rsidR="007E3B49" w:rsidRPr="00971F34" w:rsidRDefault="007E3B49" w:rsidP="00AA0D1A">
      <w:pPr>
        <w:ind w:left="485" w:hangingChars="202" w:hanging="485"/>
        <w:rPr>
          <w:rFonts w:ascii="標楷體" w:eastAsia="標楷體" w:hAnsi="標楷體"/>
          <w:bCs/>
          <w:szCs w:val="24"/>
          <w:bdr w:val="single" w:sz="4" w:space="0" w:color="auto"/>
        </w:rPr>
      </w:pPr>
      <w:bookmarkStart w:id="0" w:name="_GoBack"/>
      <w:proofErr w:type="spellStart"/>
      <w:r w:rsidRPr="00971F34">
        <w:rPr>
          <w:rFonts w:ascii="Calibri" w:eastAsia="標楷體" w:hAnsi="Calibri" w:cs="Calibri"/>
          <w:bCs/>
          <w:szCs w:val="24"/>
          <w:bdr w:val="single" w:sz="4" w:space="0" w:color="auto"/>
        </w:rPr>
        <w:t>Bayad</w:t>
      </w:r>
      <w:proofErr w:type="spellEnd"/>
      <w:r w:rsidRPr="00971F34">
        <w:rPr>
          <w:rFonts w:ascii="Calibri" w:eastAsia="標楷體" w:hAnsi="Calibri" w:cs="Calibri"/>
          <w:bCs/>
          <w:szCs w:val="24"/>
          <w:bdr w:val="single" w:sz="4" w:space="0" w:color="auto"/>
        </w:rPr>
        <w:t xml:space="preserve"> </w:t>
      </w:r>
      <w:proofErr w:type="spellStart"/>
      <w:r w:rsidRPr="00971F34">
        <w:rPr>
          <w:rFonts w:ascii="Calibri" w:eastAsia="標楷體" w:hAnsi="Calibri" w:cs="Calibri"/>
          <w:bCs/>
          <w:szCs w:val="24"/>
          <w:bdr w:val="single" w:sz="4" w:space="0" w:color="auto"/>
        </w:rPr>
        <w:t>sa</w:t>
      </w:r>
      <w:proofErr w:type="spellEnd"/>
      <w:r w:rsidRPr="00971F34">
        <w:rPr>
          <w:rFonts w:ascii="Calibri" w:eastAsia="標楷體" w:hAnsi="Calibri" w:cs="Calibri"/>
          <w:bCs/>
          <w:szCs w:val="24"/>
          <w:bdr w:val="single" w:sz="4" w:space="0" w:color="auto"/>
        </w:rPr>
        <w:t xml:space="preserve"> </w:t>
      </w:r>
      <w:proofErr w:type="spellStart"/>
      <w:r w:rsidRPr="00971F34">
        <w:rPr>
          <w:rFonts w:ascii="Calibri" w:eastAsia="標楷體" w:hAnsi="Calibri" w:cs="Calibri"/>
          <w:bCs/>
          <w:szCs w:val="24"/>
          <w:bdr w:val="single" w:sz="4" w:space="0" w:color="auto"/>
        </w:rPr>
        <w:t>lokal</w:t>
      </w:r>
      <w:proofErr w:type="spellEnd"/>
      <w:r w:rsidRPr="00971F34">
        <w:rPr>
          <w:rFonts w:ascii="Calibri" w:eastAsia="標楷體" w:hAnsi="Calibri" w:cs="Calibri"/>
          <w:bCs/>
          <w:szCs w:val="24"/>
          <w:bdr w:val="single" w:sz="4" w:space="0" w:color="auto"/>
        </w:rPr>
        <w:t xml:space="preserve"> </w:t>
      </w:r>
      <w:proofErr w:type="spellStart"/>
      <w:r w:rsidRPr="00971F34">
        <w:rPr>
          <w:rFonts w:ascii="Calibri" w:eastAsia="標楷體" w:hAnsi="Calibri" w:cs="Calibri"/>
          <w:bCs/>
          <w:szCs w:val="24"/>
          <w:bdr w:val="single" w:sz="4" w:space="0" w:color="auto"/>
        </w:rPr>
        <w:t>na</w:t>
      </w:r>
      <w:proofErr w:type="spellEnd"/>
      <w:r w:rsidRPr="00971F34">
        <w:rPr>
          <w:rFonts w:ascii="Calibri" w:eastAsia="標楷體" w:hAnsi="Calibri" w:cs="Calibri"/>
          <w:bCs/>
          <w:szCs w:val="24"/>
          <w:bdr w:val="single" w:sz="4" w:space="0" w:color="auto"/>
        </w:rPr>
        <w:t xml:space="preserve"> </w:t>
      </w:r>
      <w:proofErr w:type="spellStart"/>
      <w:r w:rsidRPr="00971F34">
        <w:rPr>
          <w:rFonts w:ascii="Calibri" w:eastAsia="標楷體" w:hAnsi="Calibri" w:cs="Calibri"/>
          <w:bCs/>
          <w:szCs w:val="24"/>
          <w:bdr w:val="single" w:sz="4" w:space="0" w:color="auto"/>
        </w:rPr>
        <w:t>serbisyo</w:t>
      </w:r>
      <w:proofErr w:type="spellEnd"/>
      <w:r w:rsidRPr="00971F34">
        <w:rPr>
          <w:rFonts w:ascii="標楷體" w:eastAsia="標楷體" w:hAnsi="標楷體"/>
          <w:bCs/>
          <w:szCs w:val="24"/>
          <w:bdr w:val="single" w:sz="4" w:space="0" w:color="auto"/>
        </w:rPr>
        <w:t xml:space="preserve"> </w:t>
      </w:r>
    </w:p>
    <w:bookmarkEnd w:id="0"/>
    <w:p w14:paraId="03831805" w14:textId="77777777" w:rsidR="00263685" w:rsidRPr="003627D0" w:rsidRDefault="00263685" w:rsidP="00AA0D1A">
      <w:pPr>
        <w:ind w:left="485" w:hangingChars="202" w:hanging="485"/>
        <w:rPr>
          <w:rFonts w:ascii="標楷體" w:eastAsia="標楷體" w:hAnsi="標楷體"/>
          <w:szCs w:val="24"/>
          <w:bdr w:val="single" w:sz="4" w:space="0" w:color="auto"/>
        </w:rPr>
      </w:pPr>
    </w:p>
    <w:p w14:paraId="00F03E3E" w14:textId="22C758A9" w:rsidR="00D31624" w:rsidRDefault="00D31624" w:rsidP="00DE3BE6">
      <w:pPr>
        <w:pStyle w:val="a4"/>
        <w:numPr>
          <w:ilvl w:val="0"/>
          <w:numId w:val="2"/>
        </w:numPr>
        <w:jc w:val="both"/>
        <w:rPr>
          <w:rFonts w:ascii="Calibri" w:eastAsia="標楷體" w:hAnsi="Calibri" w:cs="Calibri"/>
          <w:szCs w:val="24"/>
        </w:rPr>
      </w:pPr>
      <w:proofErr w:type="spellStart"/>
      <w:r w:rsidRPr="00D31624">
        <w:rPr>
          <w:rFonts w:ascii="Calibri" w:eastAsia="標楷體" w:hAnsi="Calibri" w:cs="Calibri"/>
          <w:szCs w:val="24"/>
        </w:rPr>
        <w:t>Upang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maiwasan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Pr="00D31624">
        <w:rPr>
          <w:rFonts w:ascii="Calibri" w:eastAsia="標楷體" w:hAnsi="Calibri" w:cs="Calibri"/>
          <w:szCs w:val="24"/>
        </w:rPr>
        <w:t>mataas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bayad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sinisingil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mga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lokal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ahensya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lakas-tao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, ang </w:t>
      </w:r>
      <w:proofErr w:type="spellStart"/>
      <w:r w:rsidRPr="00D31624">
        <w:rPr>
          <w:rFonts w:ascii="Calibri" w:eastAsia="標楷體" w:hAnsi="Calibri" w:cs="Calibri"/>
          <w:szCs w:val="24"/>
        </w:rPr>
        <w:t>Ministri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ito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ay </w:t>
      </w:r>
      <w:proofErr w:type="spellStart"/>
      <w:r w:rsidRPr="00D31624">
        <w:rPr>
          <w:rFonts w:ascii="Calibri" w:eastAsia="標楷體" w:hAnsi="Calibri" w:cs="Calibri"/>
          <w:szCs w:val="24"/>
        </w:rPr>
        <w:t>nagsasaad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Pr="00D31624">
        <w:rPr>
          <w:rFonts w:ascii="Calibri" w:eastAsia="標楷體" w:hAnsi="Calibri" w:cs="Calibri"/>
          <w:szCs w:val="24"/>
        </w:rPr>
        <w:t>mga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lokal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ahensya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tagapamagitan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ay </w:t>
      </w:r>
      <w:proofErr w:type="spellStart"/>
      <w:r w:rsidRPr="00D31624">
        <w:rPr>
          <w:rFonts w:ascii="Calibri" w:eastAsia="標楷體" w:hAnsi="Calibri" w:cs="Calibri"/>
          <w:szCs w:val="24"/>
        </w:rPr>
        <w:t>maaari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lastRenderedPageBreak/>
        <w:t>lamang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mangolekta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"</w:t>
      </w:r>
      <w:proofErr w:type="spellStart"/>
      <w:r w:rsidRPr="00D31624">
        <w:rPr>
          <w:rFonts w:ascii="Calibri" w:eastAsia="標楷體" w:hAnsi="Calibri" w:cs="Calibri"/>
          <w:szCs w:val="24"/>
        </w:rPr>
        <w:t>Mga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bayad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serbisyo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" </w:t>
      </w:r>
      <w:proofErr w:type="spellStart"/>
      <w:r w:rsidRPr="00D31624">
        <w:rPr>
          <w:rFonts w:ascii="Calibri" w:eastAsia="標楷體" w:hAnsi="Calibri" w:cs="Calibri"/>
          <w:szCs w:val="24"/>
        </w:rPr>
        <w:t>mula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mga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dayuhang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manggagawa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, at </w:t>
      </w:r>
      <w:proofErr w:type="spellStart"/>
      <w:r w:rsidRPr="00D31624">
        <w:rPr>
          <w:rFonts w:ascii="Calibri" w:eastAsia="標楷體" w:hAnsi="Calibri" w:cs="Calibri"/>
          <w:szCs w:val="24"/>
        </w:rPr>
        <w:t>kailangang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may </w:t>
      </w:r>
      <w:proofErr w:type="spellStart"/>
      <w:r w:rsidRPr="00D31624">
        <w:rPr>
          <w:rFonts w:ascii="Calibri" w:eastAsia="標楷體" w:hAnsi="Calibri" w:cs="Calibri"/>
          <w:szCs w:val="24"/>
        </w:rPr>
        <w:t>katotohanan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Pr="00D31624">
        <w:rPr>
          <w:rFonts w:ascii="Calibri" w:eastAsia="標楷體" w:hAnsi="Calibri" w:cs="Calibri"/>
          <w:szCs w:val="24"/>
        </w:rPr>
        <w:t>serbisyo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ay </w:t>
      </w:r>
      <w:proofErr w:type="spellStart"/>
      <w:r w:rsidRPr="00D31624">
        <w:rPr>
          <w:rFonts w:ascii="Calibri" w:eastAsia="標楷體" w:hAnsi="Calibri" w:cs="Calibri"/>
          <w:szCs w:val="24"/>
        </w:rPr>
        <w:t>ibinigay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alinsunod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kontrata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serbisyo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bago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singilin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Pr="00D31624">
        <w:rPr>
          <w:rFonts w:ascii="Calibri" w:eastAsia="標楷體" w:hAnsi="Calibri" w:cs="Calibri"/>
          <w:szCs w:val="24"/>
        </w:rPr>
        <w:t>bayad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, at </w:t>
      </w:r>
      <w:proofErr w:type="spellStart"/>
      <w:r w:rsidRPr="00D31624">
        <w:rPr>
          <w:rFonts w:ascii="Calibri" w:eastAsia="標楷體" w:hAnsi="Calibri" w:cs="Calibri"/>
          <w:szCs w:val="24"/>
        </w:rPr>
        <w:t>hindi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maaaring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singilin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mas </w:t>
      </w:r>
      <w:proofErr w:type="spellStart"/>
      <w:r w:rsidRPr="00D31624">
        <w:rPr>
          <w:rFonts w:ascii="Calibri" w:eastAsia="標楷體" w:hAnsi="Calibri" w:cs="Calibri"/>
          <w:szCs w:val="24"/>
        </w:rPr>
        <w:t>maaga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, at </w:t>
      </w:r>
      <w:proofErr w:type="spellStart"/>
      <w:r w:rsidRPr="00D31624">
        <w:rPr>
          <w:rFonts w:ascii="Calibri" w:eastAsia="標楷體" w:hAnsi="Calibri" w:cs="Calibri"/>
          <w:szCs w:val="24"/>
        </w:rPr>
        <w:t>ayon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pinagsama-samang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panahon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pagtatrabaho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dayuhan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Taiwan </w:t>
      </w:r>
      <w:proofErr w:type="spellStart"/>
      <w:r w:rsidRPr="00D31624">
        <w:rPr>
          <w:rFonts w:ascii="Calibri" w:eastAsia="標楷體" w:hAnsi="Calibri" w:cs="Calibri"/>
          <w:szCs w:val="24"/>
        </w:rPr>
        <w:t>pagkatapos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makapasok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bansa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, ang </w:t>
      </w:r>
      <w:proofErr w:type="spellStart"/>
      <w:r w:rsidRPr="00D31624">
        <w:rPr>
          <w:rFonts w:ascii="Calibri" w:eastAsia="標楷體" w:hAnsi="Calibri" w:cs="Calibri"/>
          <w:szCs w:val="24"/>
        </w:rPr>
        <w:t>buwanang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pagbabayad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ay </w:t>
      </w:r>
      <w:proofErr w:type="spellStart"/>
      <w:r w:rsidRPr="00D31624">
        <w:rPr>
          <w:rFonts w:ascii="Calibri" w:eastAsia="標楷體" w:hAnsi="Calibri" w:cs="Calibri"/>
          <w:szCs w:val="24"/>
        </w:rPr>
        <w:t>hindi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lalampas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NT1,800, NT1,700, NT1,500 </w:t>
      </w:r>
      <w:proofErr w:type="spellStart"/>
      <w:r w:rsidRPr="00D31624">
        <w:rPr>
          <w:rFonts w:ascii="Calibri" w:eastAsia="標楷體" w:hAnsi="Calibri" w:cs="Calibri"/>
          <w:szCs w:val="24"/>
        </w:rPr>
        <w:t>mula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unang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taon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, </w:t>
      </w:r>
      <w:proofErr w:type="spellStart"/>
      <w:r w:rsidRPr="00D31624">
        <w:rPr>
          <w:rFonts w:ascii="Calibri" w:eastAsia="標楷體" w:hAnsi="Calibri" w:cs="Calibri"/>
          <w:szCs w:val="24"/>
        </w:rPr>
        <w:t>ikalawang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taon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, at </w:t>
      </w:r>
      <w:proofErr w:type="spellStart"/>
      <w:r w:rsidRPr="00D31624">
        <w:rPr>
          <w:rFonts w:ascii="Calibri" w:eastAsia="標楷體" w:hAnsi="Calibri" w:cs="Calibri"/>
          <w:szCs w:val="24"/>
        </w:rPr>
        <w:t>ikatlong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taon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, at ang </w:t>
      </w:r>
      <w:proofErr w:type="spellStart"/>
      <w:r w:rsidRPr="00D31624">
        <w:rPr>
          <w:rFonts w:ascii="Calibri" w:eastAsia="標楷體" w:hAnsi="Calibri" w:cs="Calibri"/>
          <w:szCs w:val="24"/>
        </w:rPr>
        <w:t>mga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pamahalaan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county at </w:t>
      </w:r>
      <w:proofErr w:type="spellStart"/>
      <w:r w:rsidRPr="00D31624">
        <w:rPr>
          <w:rFonts w:ascii="Calibri" w:eastAsia="標楷體" w:hAnsi="Calibri" w:cs="Calibri"/>
          <w:szCs w:val="24"/>
        </w:rPr>
        <w:t>lungsod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ay mag-</w:t>
      </w:r>
      <w:proofErr w:type="spellStart"/>
      <w:r w:rsidRPr="00D31624">
        <w:rPr>
          <w:rFonts w:ascii="Calibri" w:eastAsia="標楷體" w:hAnsi="Calibri" w:cs="Calibri"/>
          <w:szCs w:val="24"/>
        </w:rPr>
        <w:t>iimbestiga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sitwasyon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paniningil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mga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dayuhang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manggagawa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; kung </w:t>
      </w:r>
      <w:proofErr w:type="spellStart"/>
      <w:r w:rsidRPr="00D31624">
        <w:rPr>
          <w:rFonts w:ascii="Calibri" w:eastAsia="標楷體" w:hAnsi="Calibri" w:cs="Calibri"/>
          <w:szCs w:val="24"/>
        </w:rPr>
        <w:t>napag-alamang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naniningil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Pr="00D31624">
        <w:rPr>
          <w:rFonts w:ascii="Calibri" w:eastAsia="標楷體" w:hAnsi="Calibri" w:cs="Calibri"/>
          <w:szCs w:val="24"/>
        </w:rPr>
        <w:t>mga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lokal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ahensya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tagapamagitan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mga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bayarin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maliban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itinalagang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pamantayan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, </w:t>
      </w:r>
      <w:proofErr w:type="spellStart"/>
      <w:r w:rsidRPr="00D31624">
        <w:rPr>
          <w:rFonts w:ascii="Calibri" w:eastAsia="標楷體" w:hAnsi="Calibri" w:cs="Calibri"/>
          <w:szCs w:val="24"/>
        </w:rPr>
        <w:t>alinsunod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Batas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Serbisyo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Pagtatrabaho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at </w:t>
      </w:r>
      <w:proofErr w:type="spellStart"/>
      <w:r w:rsidRPr="00D31624">
        <w:rPr>
          <w:rFonts w:ascii="Calibri" w:eastAsia="標楷體" w:hAnsi="Calibri" w:cs="Calibri"/>
          <w:szCs w:val="24"/>
        </w:rPr>
        <w:t>mga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kaugnay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regulasyon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, </w:t>
      </w:r>
      <w:proofErr w:type="spellStart"/>
      <w:r w:rsidRPr="00D31624">
        <w:rPr>
          <w:rFonts w:ascii="Calibri" w:eastAsia="標楷體" w:hAnsi="Calibri" w:cs="Calibri"/>
          <w:szCs w:val="24"/>
        </w:rPr>
        <w:t>sila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ay </w:t>
      </w:r>
      <w:proofErr w:type="spellStart"/>
      <w:r w:rsidRPr="00D31624">
        <w:rPr>
          <w:rFonts w:ascii="Calibri" w:eastAsia="標楷體" w:hAnsi="Calibri" w:cs="Calibri"/>
          <w:szCs w:val="24"/>
        </w:rPr>
        <w:t>sasailalim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10 </w:t>
      </w:r>
      <w:proofErr w:type="spellStart"/>
      <w:r w:rsidRPr="00D31624">
        <w:rPr>
          <w:rFonts w:ascii="Calibri" w:eastAsia="標楷體" w:hAnsi="Calibri" w:cs="Calibri"/>
          <w:szCs w:val="24"/>
        </w:rPr>
        <w:t>hanggang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20 </w:t>
      </w:r>
      <w:proofErr w:type="spellStart"/>
      <w:r w:rsidRPr="00D31624">
        <w:rPr>
          <w:rFonts w:ascii="Calibri" w:eastAsia="標楷體" w:hAnsi="Calibri" w:cs="Calibri"/>
          <w:szCs w:val="24"/>
        </w:rPr>
        <w:t>beses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multa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ayon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itinakdang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pamantayan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bayarin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o ang </w:t>
      </w:r>
      <w:proofErr w:type="spellStart"/>
      <w:r w:rsidRPr="00D31624">
        <w:rPr>
          <w:rFonts w:ascii="Calibri" w:eastAsia="標楷體" w:hAnsi="Calibri" w:cs="Calibri"/>
          <w:szCs w:val="24"/>
        </w:rPr>
        <w:t>katumbas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halaga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siningil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lokal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ahensya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tagapamagitan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at </w:t>
      </w:r>
      <w:proofErr w:type="spellStart"/>
      <w:r w:rsidRPr="00D31624">
        <w:rPr>
          <w:rFonts w:ascii="Calibri" w:eastAsia="標楷體" w:hAnsi="Calibri" w:cs="Calibri"/>
          <w:szCs w:val="24"/>
        </w:rPr>
        <w:t>pagsususpinde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negosyo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. </w:t>
      </w:r>
      <w:proofErr w:type="spellStart"/>
      <w:r w:rsidRPr="00D31624">
        <w:rPr>
          <w:rFonts w:ascii="Calibri" w:eastAsia="標楷體" w:hAnsi="Calibri" w:cs="Calibri"/>
          <w:szCs w:val="24"/>
        </w:rPr>
        <w:t>Iwasan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pagsamantalah</w:t>
      </w:r>
      <w:r w:rsidR="005348B3">
        <w:rPr>
          <w:rFonts w:ascii="Calibri" w:eastAsia="標楷體" w:hAnsi="Calibri" w:cs="Calibri"/>
          <w:szCs w:val="24"/>
        </w:rPr>
        <w:t>a</w:t>
      </w:r>
      <w:r w:rsidRPr="00D31624">
        <w:rPr>
          <w:rFonts w:ascii="Calibri" w:eastAsia="標楷體" w:hAnsi="Calibri" w:cs="Calibri"/>
          <w:szCs w:val="24"/>
        </w:rPr>
        <w:t>n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ng </w:t>
      </w:r>
      <w:proofErr w:type="spellStart"/>
      <w:r w:rsidRPr="00D31624">
        <w:rPr>
          <w:rFonts w:ascii="Calibri" w:eastAsia="標楷體" w:hAnsi="Calibri" w:cs="Calibri"/>
          <w:szCs w:val="24"/>
        </w:rPr>
        <w:t>mga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lokal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na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ahensya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ang </w:t>
      </w:r>
      <w:proofErr w:type="spellStart"/>
      <w:r w:rsidRPr="00D31624">
        <w:rPr>
          <w:rFonts w:ascii="Calibri" w:eastAsia="標楷體" w:hAnsi="Calibri" w:cs="Calibri"/>
          <w:szCs w:val="24"/>
        </w:rPr>
        <w:t>mga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dayuhang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D31624">
        <w:rPr>
          <w:rFonts w:ascii="Calibri" w:eastAsia="標楷體" w:hAnsi="Calibri" w:cs="Calibri"/>
          <w:szCs w:val="24"/>
        </w:rPr>
        <w:t>manggagawa</w:t>
      </w:r>
      <w:proofErr w:type="spellEnd"/>
      <w:r w:rsidRPr="00D31624">
        <w:rPr>
          <w:rFonts w:ascii="Calibri" w:eastAsia="標楷體" w:hAnsi="Calibri" w:cs="Calibri"/>
          <w:szCs w:val="24"/>
        </w:rPr>
        <w:t xml:space="preserve">. </w:t>
      </w:r>
    </w:p>
    <w:p w14:paraId="36318058" w14:textId="77777777" w:rsidR="00D31624" w:rsidRPr="00D31624" w:rsidRDefault="00D31624" w:rsidP="00DE3BE6">
      <w:pPr>
        <w:pStyle w:val="a4"/>
        <w:ind w:left="629"/>
        <w:jc w:val="both"/>
        <w:rPr>
          <w:rFonts w:ascii="Calibri" w:eastAsia="標楷體" w:hAnsi="Calibri" w:cs="Calibri"/>
          <w:szCs w:val="24"/>
        </w:rPr>
      </w:pPr>
    </w:p>
    <w:p w14:paraId="3F81BAA3" w14:textId="77777777" w:rsidR="007E3B49" w:rsidRDefault="007E3B49" w:rsidP="00B006ED">
      <w:pPr>
        <w:ind w:leftChars="112" w:left="483" w:hangingChars="89" w:hanging="214"/>
        <w:rPr>
          <w:rFonts w:ascii="Calibri" w:eastAsia="標楷體" w:hAnsi="Calibri" w:cs="Calibri"/>
          <w:szCs w:val="24"/>
        </w:rPr>
      </w:pPr>
      <w:r w:rsidRPr="00AA0D1A">
        <w:rPr>
          <w:rFonts w:ascii="Calibri" w:eastAsia="標楷體" w:hAnsi="Calibri" w:cs="Calibri"/>
          <w:szCs w:val="24"/>
        </w:rPr>
        <w:t>2.</w:t>
      </w:r>
      <w:r>
        <w:rPr>
          <w:rFonts w:ascii="標楷體" w:eastAsia="標楷體" w:hAnsi="標楷體"/>
          <w:szCs w:val="24"/>
        </w:rPr>
        <w:t xml:space="preserve"> </w:t>
      </w:r>
      <w:r w:rsidRPr="003627D0">
        <w:rPr>
          <w:rFonts w:ascii="Calibri" w:eastAsia="標楷體" w:hAnsi="Calibri" w:cs="Calibri"/>
          <w:szCs w:val="24"/>
        </w:rPr>
        <w:t xml:space="preserve">Ang </w:t>
      </w:r>
      <w:proofErr w:type="spellStart"/>
      <w:r w:rsidRPr="003627D0">
        <w:rPr>
          <w:rFonts w:ascii="Calibri" w:eastAsia="標楷體" w:hAnsi="Calibri" w:cs="Calibri"/>
          <w:szCs w:val="24"/>
        </w:rPr>
        <w:t>mga</w:t>
      </w:r>
      <w:proofErr w:type="spellEnd"/>
      <w:r w:rsidRPr="003627D0">
        <w:rPr>
          <w:rFonts w:ascii="Calibri" w:eastAsia="標楷體" w:hAnsi="Calibri" w:cs="Calibri"/>
          <w:szCs w:val="24"/>
        </w:rPr>
        <w:t xml:space="preserve"> link </w:t>
      </w:r>
      <w:proofErr w:type="spellStart"/>
      <w:r w:rsidRPr="003627D0">
        <w:rPr>
          <w:rFonts w:ascii="Calibri" w:eastAsia="標楷體" w:hAnsi="Calibri" w:cs="Calibri"/>
          <w:szCs w:val="24"/>
        </w:rPr>
        <w:t>sa</w:t>
      </w:r>
      <w:proofErr w:type="spellEnd"/>
      <w:r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3627D0">
        <w:rPr>
          <w:rFonts w:ascii="Calibri" w:eastAsia="標楷體" w:hAnsi="Calibri" w:cs="Calibri"/>
          <w:szCs w:val="24"/>
        </w:rPr>
        <w:t>mga</w:t>
      </w:r>
      <w:proofErr w:type="spellEnd"/>
      <w:r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3627D0">
        <w:rPr>
          <w:rFonts w:ascii="Calibri" w:eastAsia="標楷體" w:hAnsi="Calibri" w:cs="Calibri"/>
          <w:szCs w:val="24"/>
        </w:rPr>
        <w:t>nauugnay</w:t>
      </w:r>
      <w:proofErr w:type="spellEnd"/>
      <w:r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3627D0">
        <w:rPr>
          <w:rFonts w:ascii="Calibri" w:eastAsia="標楷體" w:hAnsi="Calibri" w:cs="Calibri"/>
          <w:szCs w:val="24"/>
        </w:rPr>
        <w:t>na</w:t>
      </w:r>
      <w:proofErr w:type="spellEnd"/>
      <w:r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3627D0">
        <w:rPr>
          <w:rFonts w:ascii="Calibri" w:eastAsia="標楷體" w:hAnsi="Calibri" w:cs="Calibri"/>
          <w:szCs w:val="24"/>
        </w:rPr>
        <w:t>batas</w:t>
      </w:r>
      <w:proofErr w:type="spellEnd"/>
      <w:r w:rsidRPr="003627D0">
        <w:rPr>
          <w:rFonts w:ascii="Calibri" w:eastAsia="標楷體" w:hAnsi="Calibri" w:cs="Calibri"/>
          <w:szCs w:val="24"/>
        </w:rPr>
        <w:t xml:space="preserve"> at </w:t>
      </w:r>
      <w:proofErr w:type="spellStart"/>
      <w:r w:rsidRPr="003627D0">
        <w:rPr>
          <w:rFonts w:ascii="Calibri" w:eastAsia="標楷體" w:hAnsi="Calibri" w:cs="Calibri"/>
          <w:szCs w:val="24"/>
        </w:rPr>
        <w:t>regulasyon</w:t>
      </w:r>
      <w:proofErr w:type="spellEnd"/>
      <w:r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3627D0">
        <w:rPr>
          <w:rFonts w:ascii="Calibri" w:eastAsia="標楷體" w:hAnsi="Calibri" w:cs="Calibri"/>
          <w:szCs w:val="24"/>
        </w:rPr>
        <w:t>sa</w:t>
      </w:r>
      <w:proofErr w:type="spellEnd"/>
      <w:r w:rsidRPr="003627D0">
        <w:rPr>
          <w:rFonts w:ascii="Calibri" w:eastAsia="標楷體" w:hAnsi="Calibri" w:cs="Calibri"/>
          <w:szCs w:val="24"/>
        </w:rPr>
        <w:t xml:space="preserve"> </w:t>
      </w:r>
      <w:proofErr w:type="spellStart"/>
      <w:r w:rsidRPr="003627D0">
        <w:rPr>
          <w:rFonts w:ascii="Calibri" w:eastAsia="標楷體" w:hAnsi="Calibri" w:cs="Calibri"/>
          <w:szCs w:val="24"/>
        </w:rPr>
        <w:t>ibaba</w:t>
      </w:r>
      <w:proofErr w:type="spellEnd"/>
    </w:p>
    <w:p w14:paraId="6EE1D0CF" w14:textId="15C59173" w:rsidR="007E3B49" w:rsidRPr="003627D0" w:rsidRDefault="00C9502F" w:rsidP="00AA0D1A">
      <w:pPr>
        <w:ind w:left="485" w:hangingChars="202" w:hanging="485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zCs w:val="24"/>
        </w:rPr>
        <w:t xml:space="preserve">     </w:t>
      </w:r>
      <w:r w:rsidR="007E3B49" w:rsidRPr="003627D0">
        <w:rPr>
          <w:rFonts w:ascii="Calibri" w:eastAsia="標楷體" w:hAnsi="Calibri" w:cs="Calibri"/>
          <w:szCs w:val="24"/>
        </w:rPr>
        <w:t xml:space="preserve"> </w:t>
      </w:r>
      <w:r w:rsidR="00B006ED">
        <w:rPr>
          <w:rFonts w:ascii="Calibri" w:eastAsia="標楷體" w:hAnsi="Calibri" w:cs="Calibri"/>
          <w:szCs w:val="24"/>
        </w:rPr>
        <w:t xml:space="preserve">     </w:t>
      </w:r>
      <w:hyperlink r:id="rId5" w:history="1">
        <w:r w:rsidR="00DE3BE6" w:rsidRPr="002E7C01">
          <w:rPr>
            <w:rStyle w:val="a3"/>
            <w:rFonts w:ascii="Calibri" w:eastAsia="標楷體" w:hAnsi="Calibri" w:cs="Calibri"/>
            <w:szCs w:val="24"/>
          </w:rPr>
          <w:t>http://law.moj.gov.tw/LawClass/LawContent.aspx?PCODE=N0090028</w:t>
        </w:r>
      </w:hyperlink>
    </w:p>
    <w:p w14:paraId="68148DFB" w14:textId="77777777" w:rsidR="007E3B49" w:rsidRPr="003627D0" w:rsidRDefault="007E3B49" w:rsidP="007E3B49">
      <w:pPr>
        <w:spacing w:line="600" w:lineRule="exact"/>
        <w:ind w:left="485" w:hangingChars="202" w:hanging="485"/>
        <w:rPr>
          <w:rFonts w:ascii="Calibri" w:eastAsia="標楷體" w:hAnsi="Calibri" w:cs="Calibri"/>
          <w:szCs w:val="24"/>
        </w:rPr>
      </w:pPr>
    </w:p>
    <w:p w14:paraId="020F9B2B" w14:textId="77777777" w:rsidR="000A3CCD" w:rsidRDefault="000A3CCD"/>
    <w:sectPr w:rsidR="000A3CCD" w:rsidSect="00E57DF9">
      <w:pgSz w:w="11906" w:h="16838"/>
      <w:pgMar w:top="1440" w:right="1466" w:bottom="1440" w:left="12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D6140"/>
    <w:multiLevelType w:val="hybridMultilevel"/>
    <w:tmpl w:val="44B8CA78"/>
    <w:lvl w:ilvl="0" w:tplc="3DCC1F46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2D4B5FD6"/>
    <w:multiLevelType w:val="hybridMultilevel"/>
    <w:tmpl w:val="7F2AE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49"/>
    <w:rsid w:val="000A3CCD"/>
    <w:rsid w:val="000A5E7E"/>
    <w:rsid w:val="000B028D"/>
    <w:rsid w:val="00263685"/>
    <w:rsid w:val="00382BD6"/>
    <w:rsid w:val="004D5C6C"/>
    <w:rsid w:val="005348B3"/>
    <w:rsid w:val="005B1BD9"/>
    <w:rsid w:val="006D5A40"/>
    <w:rsid w:val="007B6894"/>
    <w:rsid w:val="007E3B49"/>
    <w:rsid w:val="008725AE"/>
    <w:rsid w:val="0093416C"/>
    <w:rsid w:val="00971F34"/>
    <w:rsid w:val="00AA0D1A"/>
    <w:rsid w:val="00B006ED"/>
    <w:rsid w:val="00B1440A"/>
    <w:rsid w:val="00C9502F"/>
    <w:rsid w:val="00D31624"/>
    <w:rsid w:val="00DE3BE6"/>
    <w:rsid w:val="00E338C5"/>
    <w:rsid w:val="00FB29A6"/>
    <w:rsid w:val="00FD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6A19"/>
  <w15:chartTrackingRefBased/>
  <w15:docId w15:val="{5C365914-C402-4CD9-9D37-B7430C97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B49"/>
    <w:pPr>
      <w:widowControl w:val="0"/>
      <w:spacing w:after="0" w:line="240" w:lineRule="auto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B4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3685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B00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w.moj.gov.tw/LawClass/LawContent.aspx?PCODE=N00900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Chen</dc:creator>
  <cp:keywords/>
  <dc:description/>
  <cp:lastModifiedBy>Willis Lee</cp:lastModifiedBy>
  <cp:revision>22</cp:revision>
  <dcterms:created xsi:type="dcterms:W3CDTF">2022-11-12T02:51:00Z</dcterms:created>
  <dcterms:modified xsi:type="dcterms:W3CDTF">2022-11-14T03:42:00Z</dcterms:modified>
</cp:coreProperties>
</file>