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31F81" w14:textId="77777777" w:rsidR="00073AE2" w:rsidRPr="00073AE2" w:rsidRDefault="00073AE2" w:rsidP="00073AE2">
      <w:pPr>
        <w:widowControl/>
        <w:spacing w:before="120" w:after="120" w:line="300" w:lineRule="atLeast"/>
        <w:outlineLvl w:val="1"/>
        <w:rPr>
          <w:rFonts w:ascii="Helvetica" w:eastAsia="Times New Roman" w:hAnsi="Helvetica" w:cs="Times New Roman"/>
          <w:b/>
          <w:bCs/>
          <w:color w:val="333333"/>
          <w:kern w:val="0"/>
          <w:sz w:val="36"/>
          <w:szCs w:val="36"/>
        </w:rPr>
      </w:pPr>
      <w:r w:rsidRPr="00073AE2">
        <w:rPr>
          <w:rFonts w:ascii="Helvetica" w:eastAsia="Times New Roman" w:hAnsi="Helvetica" w:cs="Times New Roman"/>
          <w:b/>
          <w:bCs/>
          <w:color w:val="333333"/>
          <w:kern w:val="0"/>
          <w:sz w:val="36"/>
          <w:szCs w:val="36"/>
        </w:rPr>
        <w:t xml:space="preserve">Program </w:t>
      </w:r>
      <w:proofErr w:type="spellStart"/>
      <w:r w:rsidRPr="00073AE2">
        <w:rPr>
          <w:rFonts w:ascii="Helvetica" w:eastAsia="Times New Roman" w:hAnsi="Helvetica" w:cs="Times New Roman"/>
          <w:b/>
          <w:bCs/>
          <w:color w:val="333333"/>
          <w:kern w:val="0"/>
          <w:sz w:val="36"/>
          <w:szCs w:val="36"/>
        </w:rPr>
        <w:t>Harmoni</w:t>
      </w:r>
      <w:proofErr w:type="spellEnd"/>
      <w:r w:rsidRPr="00073AE2">
        <w:rPr>
          <w:rFonts w:ascii="Helvetica" w:eastAsia="Times New Roman" w:hAnsi="Helvetica" w:cs="Times New Roman"/>
          <w:b/>
          <w:bCs/>
          <w:color w:val="333333"/>
          <w:kern w:val="0"/>
          <w:sz w:val="36"/>
          <w:szCs w:val="36"/>
        </w:rPr>
        <w:t xml:space="preserve"> </w:t>
      </w:r>
      <w:proofErr w:type="spellStart"/>
      <w:r w:rsidRPr="00073AE2">
        <w:rPr>
          <w:rFonts w:ascii="Helvetica" w:eastAsia="Times New Roman" w:hAnsi="Helvetica" w:cs="Times New Roman"/>
          <w:b/>
          <w:bCs/>
          <w:color w:val="333333"/>
          <w:kern w:val="0"/>
          <w:sz w:val="36"/>
          <w:szCs w:val="36"/>
        </w:rPr>
        <w:t>Vaksinasi</w:t>
      </w:r>
      <w:proofErr w:type="spellEnd"/>
      <w:r w:rsidRPr="00073AE2">
        <w:rPr>
          <w:rFonts w:ascii="Helvetica" w:eastAsia="Times New Roman" w:hAnsi="Helvetica" w:cs="Times New Roman"/>
          <w:b/>
          <w:bCs/>
          <w:color w:val="333333"/>
          <w:kern w:val="0"/>
          <w:sz w:val="36"/>
          <w:szCs w:val="36"/>
        </w:rPr>
        <w:t xml:space="preserve"> COVID-19 Gratis </w:t>
      </w:r>
      <w:proofErr w:type="spellStart"/>
      <w:r w:rsidRPr="00073AE2">
        <w:rPr>
          <w:rFonts w:ascii="Helvetica" w:eastAsia="Times New Roman" w:hAnsi="Helvetica" w:cs="Times New Roman"/>
          <w:b/>
          <w:bCs/>
          <w:color w:val="333333"/>
          <w:kern w:val="0"/>
          <w:sz w:val="36"/>
          <w:szCs w:val="36"/>
        </w:rPr>
        <w:t>bagi</w:t>
      </w:r>
      <w:proofErr w:type="spellEnd"/>
      <w:r w:rsidRPr="00073AE2">
        <w:rPr>
          <w:rFonts w:ascii="Helvetica" w:eastAsia="Times New Roman" w:hAnsi="Helvetica" w:cs="Times New Roman"/>
          <w:b/>
          <w:bCs/>
          <w:color w:val="333333"/>
          <w:kern w:val="0"/>
          <w:sz w:val="36"/>
          <w:szCs w:val="36"/>
        </w:rPr>
        <w:t xml:space="preserve"> Orang </w:t>
      </w:r>
      <w:proofErr w:type="spellStart"/>
      <w:r w:rsidRPr="00073AE2">
        <w:rPr>
          <w:rFonts w:ascii="Helvetica" w:eastAsia="Times New Roman" w:hAnsi="Helvetica" w:cs="Times New Roman"/>
          <w:b/>
          <w:bCs/>
          <w:color w:val="333333"/>
          <w:kern w:val="0"/>
          <w:sz w:val="36"/>
          <w:szCs w:val="36"/>
        </w:rPr>
        <w:t>Asing</w:t>
      </w:r>
      <w:proofErr w:type="spellEnd"/>
      <w:r w:rsidRPr="00073AE2">
        <w:rPr>
          <w:rFonts w:ascii="Helvetica" w:eastAsia="Times New Roman" w:hAnsi="Helvetica" w:cs="Times New Roman"/>
          <w:b/>
          <w:bCs/>
          <w:color w:val="333333"/>
          <w:kern w:val="0"/>
          <w:sz w:val="36"/>
          <w:szCs w:val="36"/>
        </w:rPr>
        <w:t xml:space="preserve"> </w:t>
      </w:r>
      <w:proofErr w:type="spellStart"/>
      <w:r w:rsidRPr="00073AE2">
        <w:rPr>
          <w:rFonts w:ascii="Helvetica" w:eastAsia="Times New Roman" w:hAnsi="Helvetica" w:cs="Times New Roman"/>
          <w:b/>
          <w:bCs/>
          <w:color w:val="333333"/>
          <w:kern w:val="0"/>
          <w:sz w:val="36"/>
          <w:szCs w:val="36"/>
        </w:rPr>
        <w:t>dengan</w:t>
      </w:r>
      <w:proofErr w:type="spellEnd"/>
      <w:r w:rsidRPr="00073AE2">
        <w:rPr>
          <w:rFonts w:ascii="Helvetica" w:eastAsia="Times New Roman" w:hAnsi="Helvetica" w:cs="Times New Roman"/>
          <w:b/>
          <w:bCs/>
          <w:color w:val="333333"/>
          <w:kern w:val="0"/>
          <w:sz w:val="36"/>
          <w:szCs w:val="36"/>
        </w:rPr>
        <w:t xml:space="preserve"> Masa </w:t>
      </w:r>
      <w:proofErr w:type="spellStart"/>
      <w:r w:rsidRPr="00073AE2">
        <w:rPr>
          <w:rFonts w:ascii="Helvetica" w:eastAsia="Times New Roman" w:hAnsi="Helvetica" w:cs="Times New Roman"/>
          <w:b/>
          <w:bCs/>
          <w:color w:val="333333"/>
          <w:kern w:val="0"/>
          <w:sz w:val="36"/>
          <w:szCs w:val="36"/>
        </w:rPr>
        <w:t>Izin</w:t>
      </w:r>
      <w:proofErr w:type="spellEnd"/>
      <w:r w:rsidRPr="00073AE2">
        <w:rPr>
          <w:rFonts w:ascii="Helvetica" w:eastAsia="Times New Roman" w:hAnsi="Helvetica" w:cs="Times New Roman"/>
          <w:b/>
          <w:bCs/>
          <w:color w:val="333333"/>
          <w:kern w:val="0"/>
          <w:sz w:val="36"/>
          <w:szCs w:val="36"/>
        </w:rPr>
        <w:t xml:space="preserve"> </w:t>
      </w:r>
      <w:proofErr w:type="spellStart"/>
      <w:r w:rsidRPr="00073AE2">
        <w:rPr>
          <w:rFonts w:ascii="Helvetica" w:eastAsia="Times New Roman" w:hAnsi="Helvetica" w:cs="Times New Roman"/>
          <w:b/>
          <w:bCs/>
          <w:color w:val="333333"/>
          <w:kern w:val="0"/>
          <w:sz w:val="36"/>
          <w:szCs w:val="36"/>
        </w:rPr>
        <w:t>Tinggal</w:t>
      </w:r>
      <w:proofErr w:type="spellEnd"/>
      <w:r w:rsidRPr="00073AE2">
        <w:rPr>
          <w:rFonts w:ascii="Helvetica" w:eastAsia="Times New Roman" w:hAnsi="Helvetica" w:cs="Times New Roman"/>
          <w:b/>
          <w:bCs/>
          <w:color w:val="333333"/>
          <w:kern w:val="0"/>
          <w:sz w:val="36"/>
          <w:szCs w:val="36"/>
        </w:rPr>
        <w:t xml:space="preserve"> yang </w:t>
      </w:r>
      <w:proofErr w:type="spellStart"/>
      <w:r w:rsidRPr="00073AE2">
        <w:rPr>
          <w:rFonts w:ascii="Helvetica" w:eastAsia="Times New Roman" w:hAnsi="Helvetica" w:cs="Times New Roman"/>
          <w:b/>
          <w:bCs/>
          <w:color w:val="333333"/>
          <w:kern w:val="0"/>
          <w:sz w:val="36"/>
          <w:szCs w:val="36"/>
        </w:rPr>
        <w:t>Telah</w:t>
      </w:r>
      <w:proofErr w:type="spellEnd"/>
      <w:r w:rsidRPr="00073AE2">
        <w:rPr>
          <w:rFonts w:ascii="Helvetica" w:eastAsia="Times New Roman" w:hAnsi="Helvetica" w:cs="Times New Roman"/>
          <w:b/>
          <w:bCs/>
          <w:color w:val="333333"/>
          <w:kern w:val="0"/>
          <w:sz w:val="36"/>
          <w:szCs w:val="36"/>
        </w:rPr>
        <w:t xml:space="preserve"> </w:t>
      </w:r>
      <w:proofErr w:type="spellStart"/>
      <w:r w:rsidRPr="00073AE2">
        <w:rPr>
          <w:rFonts w:ascii="Helvetica" w:eastAsia="Times New Roman" w:hAnsi="Helvetica" w:cs="Times New Roman"/>
          <w:b/>
          <w:bCs/>
          <w:color w:val="333333"/>
          <w:kern w:val="0"/>
          <w:sz w:val="36"/>
          <w:szCs w:val="36"/>
        </w:rPr>
        <w:t>Habis</w:t>
      </w:r>
      <w:proofErr w:type="spellEnd"/>
    </w:p>
    <w:p w14:paraId="0D2FCC02" w14:textId="77777777" w:rsidR="00E805EB" w:rsidRDefault="00E805EB"/>
    <w:p w14:paraId="31DC6FFB" w14:textId="77777777" w:rsidR="00073AE2" w:rsidRDefault="00073AE2"/>
    <w:p w14:paraId="66650F2B" w14:textId="77777777" w:rsidR="00073AE2" w:rsidRPr="00073AE2" w:rsidRDefault="00073AE2" w:rsidP="00073AE2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1</w:t>
      </w:r>
      <w:r>
        <w:rPr>
          <w:rFonts w:ascii="Arial" w:hAnsi="Arial" w:cs="Arial"/>
          <w:color w:val="333333"/>
          <w:shd w:val="clear" w:color="auto" w:fill="FFFFFF"/>
        </w:rPr>
        <w:t>、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Objek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Sasaran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: Orang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Asing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yang masa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izin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tinggalnya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telah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habis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termasuk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para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tahanan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mereka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menyerahkan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diri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mereka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dalam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masa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percobaan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mereka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belum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diperiksa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atau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diadili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2</w:t>
      </w:r>
      <w:r>
        <w:rPr>
          <w:rFonts w:ascii="Arial" w:hAnsi="Arial" w:cs="Arial"/>
          <w:color w:val="333333"/>
          <w:shd w:val="clear" w:color="auto" w:fill="FFFFFF"/>
        </w:rPr>
        <w:t>、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Metode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Pelaksanaan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(1)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Tidak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dipungut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biaya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vaksinasi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didanai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publik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(2)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Tidak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dilaporkan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institusi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medis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melayani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penyuntikan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vaksin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tidak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melapor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polisi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atau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imigrasi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atau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badan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keamanan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publik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lainnya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melakukan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penyelidikan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(3)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Tidak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digunakan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sebagai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informasi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penyelidikan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(Biro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imigrasi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menggunakan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daftar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nama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orang yang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telah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vaksinasi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hanya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sebagai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konfirmasi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kepada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Badan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Pengembangan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Tenaga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Kerja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Kementerian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Ketenagakerjaan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tidak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dijadikan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sebagai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data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informasi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peyelidikan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(4)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Tidak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dibatasi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Jika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mereka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berinisiatif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menyelesaikan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vaksinasi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COVID-19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dosis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pertama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meninggalkan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Taiwan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dalam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waktu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6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bulan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saat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jadwal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reguler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penerbangan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internasional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bilateral </w:t>
      </w:r>
      <w:r>
        <w:rPr>
          <w:rFonts w:ascii="Arial" w:hAnsi="Arial" w:cs="Arial"/>
          <w:color w:val="333333"/>
          <w:shd w:val="clear" w:color="auto" w:fill="FFFFFF"/>
        </w:rPr>
        <w:t>【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diaktifkan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kembali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】</w:t>
      </w:r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maka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dibebaskan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dari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larangan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【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pembatasan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perizinan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】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masuk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kembali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ke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Taiwan.)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3</w:t>
      </w:r>
      <w:r>
        <w:rPr>
          <w:rFonts w:ascii="Arial" w:hAnsi="Arial" w:cs="Arial"/>
          <w:color w:val="333333"/>
          <w:shd w:val="clear" w:color="auto" w:fill="FFFFFF"/>
        </w:rPr>
        <w:t>、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Waktu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Pelaksanaan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: </w:t>
      </w:r>
      <w:proofErr w:type="spellStart"/>
      <w:r w:rsidRPr="00073AE2">
        <w:rPr>
          <w:rFonts w:ascii="Arial" w:hAnsi="Arial" w:cs="Arial"/>
          <w:b/>
          <w:bCs/>
          <w:color w:val="333333"/>
          <w:shd w:val="clear" w:color="auto" w:fill="FFFFFF"/>
        </w:rPr>
        <w:t>Mulai</w:t>
      </w:r>
      <w:proofErr w:type="spellEnd"/>
      <w:r w:rsidRPr="00073AE2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proofErr w:type="spellStart"/>
      <w:r w:rsidRPr="00073AE2">
        <w:rPr>
          <w:rFonts w:ascii="Arial" w:hAnsi="Arial" w:cs="Arial"/>
          <w:b/>
          <w:bCs/>
          <w:color w:val="333333"/>
          <w:shd w:val="clear" w:color="auto" w:fill="FFFFFF"/>
        </w:rPr>
        <w:t>dari</w:t>
      </w:r>
      <w:proofErr w:type="spellEnd"/>
      <w:r w:rsidRPr="00073AE2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proofErr w:type="spellStart"/>
      <w:r w:rsidRPr="00073AE2">
        <w:rPr>
          <w:rFonts w:ascii="Arial" w:hAnsi="Arial" w:cs="Arial"/>
          <w:b/>
          <w:bCs/>
          <w:color w:val="333333"/>
          <w:shd w:val="clear" w:color="auto" w:fill="FFFFFF"/>
        </w:rPr>
        <w:t>tanggal</w:t>
      </w:r>
      <w:proofErr w:type="spellEnd"/>
      <w:r w:rsidRPr="00073AE2">
        <w:rPr>
          <w:rFonts w:ascii="Arial" w:hAnsi="Arial" w:cs="Arial"/>
          <w:b/>
          <w:bCs/>
          <w:color w:val="333333"/>
          <w:shd w:val="clear" w:color="auto" w:fill="FFFFFF"/>
        </w:rPr>
        <w:t xml:space="preserve"> 3 </w:t>
      </w:r>
      <w:proofErr w:type="spellStart"/>
      <w:r w:rsidRPr="00073AE2">
        <w:rPr>
          <w:rFonts w:ascii="Arial" w:hAnsi="Arial" w:cs="Arial"/>
          <w:b/>
          <w:bCs/>
          <w:color w:val="333333"/>
          <w:shd w:val="clear" w:color="auto" w:fill="FFFFFF"/>
        </w:rPr>
        <w:t>Desember</w:t>
      </w:r>
      <w:proofErr w:type="spellEnd"/>
      <w:r w:rsidRPr="00073AE2">
        <w:rPr>
          <w:rFonts w:ascii="Arial" w:hAnsi="Arial" w:cs="Arial"/>
          <w:b/>
          <w:bCs/>
          <w:color w:val="333333"/>
          <w:shd w:val="clear" w:color="auto" w:fill="FFFFFF"/>
        </w:rPr>
        <w:t xml:space="preserve"> 2021 </w:t>
      </w:r>
      <w:r w:rsidRPr="00073AE2">
        <w:rPr>
          <w:rFonts w:ascii="Arial" w:hAnsi="Arial" w:cs="Arial"/>
          <w:b/>
          <w:bCs/>
          <w:color w:val="333333"/>
          <w:u w:val="single"/>
          <w:shd w:val="clear" w:color="auto" w:fill="FFFFFF"/>
        </w:rPr>
        <w:t>(</w:t>
      </w:r>
      <w:proofErr w:type="spellStart"/>
      <w:r w:rsidRPr="00073AE2">
        <w:rPr>
          <w:rFonts w:ascii="Arial" w:hAnsi="Arial" w:cs="Arial"/>
          <w:b/>
          <w:bCs/>
          <w:color w:val="333333"/>
          <w:u w:val="single"/>
          <w:shd w:val="clear" w:color="auto" w:fill="FFFFFF"/>
        </w:rPr>
        <w:t>batas</w:t>
      </w:r>
      <w:proofErr w:type="spellEnd"/>
      <w:r w:rsidRPr="00073AE2">
        <w:rPr>
          <w:rFonts w:ascii="Arial" w:hAnsi="Arial" w:cs="Arial"/>
          <w:b/>
          <w:bCs/>
          <w:color w:val="333333"/>
          <w:u w:val="single"/>
          <w:shd w:val="clear" w:color="auto" w:fill="FFFFFF"/>
        </w:rPr>
        <w:t xml:space="preserve"> </w:t>
      </w:r>
      <w:proofErr w:type="spellStart"/>
      <w:r w:rsidRPr="00073AE2">
        <w:rPr>
          <w:rFonts w:ascii="Arial" w:hAnsi="Arial" w:cs="Arial"/>
          <w:b/>
          <w:bCs/>
          <w:color w:val="333333"/>
          <w:u w:val="single"/>
          <w:shd w:val="clear" w:color="auto" w:fill="FFFFFF"/>
        </w:rPr>
        <w:t>waktu</w:t>
      </w:r>
      <w:proofErr w:type="spellEnd"/>
      <w:r w:rsidRPr="00073AE2">
        <w:rPr>
          <w:rFonts w:ascii="Arial" w:hAnsi="Arial" w:cs="Arial"/>
          <w:b/>
          <w:bCs/>
          <w:color w:val="333333"/>
          <w:u w:val="single"/>
          <w:shd w:val="clear" w:color="auto" w:fill="FFFFFF"/>
        </w:rPr>
        <w:t xml:space="preserve"> </w:t>
      </w:r>
      <w:proofErr w:type="spellStart"/>
      <w:proofErr w:type="gramStart"/>
      <w:r w:rsidRPr="00073AE2">
        <w:rPr>
          <w:rFonts w:ascii="Arial" w:hAnsi="Arial" w:cs="Arial"/>
          <w:b/>
          <w:bCs/>
          <w:color w:val="333333"/>
          <w:u w:val="single"/>
          <w:shd w:val="clear" w:color="auto" w:fill="FFFFFF"/>
        </w:rPr>
        <w:t>akan</w:t>
      </w:r>
      <w:proofErr w:type="spellEnd"/>
      <w:proofErr w:type="gramEnd"/>
      <w:r w:rsidRPr="00073AE2">
        <w:rPr>
          <w:rFonts w:ascii="Arial" w:hAnsi="Arial" w:cs="Arial"/>
          <w:b/>
          <w:bCs/>
          <w:color w:val="333333"/>
          <w:u w:val="single"/>
          <w:shd w:val="clear" w:color="auto" w:fill="FFFFFF"/>
        </w:rPr>
        <w:t xml:space="preserve"> </w:t>
      </w:r>
      <w:proofErr w:type="spellStart"/>
      <w:r w:rsidRPr="00073AE2">
        <w:rPr>
          <w:rFonts w:ascii="Arial" w:hAnsi="Arial" w:cs="Arial"/>
          <w:b/>
          <w:bCs/>
          <w:color w:val="333333"/>
          <w:u w:val="single"/>
          <w:shd w:val="clear" w:color="auto" w:fill="FFFFFF"/>
        </w:rPr>
        <w:t>diumumkan</w:t>
      </w:r>
      <w:proofErr w:type="spellEnd"/>
      <w:r w:rsidRPr="00073AE2">
        <w:rPr>
          <w:rFonts w:ascii="Arial" w:hAnsi="Arial" w:cs="Arial"/>
          <w:b/>
          <w:bCs/>
          <w:color w:val="333333"/>
          <w:u w:val="single"/>
          <w:shd w:val="clear" w:color="auto" w:fill="FFFFFF"/>
        </w:rPr>
        <w:t xml:space="preserve"> </w:t>
      </w:r>
      <w:proofErr w:type="spellStart"/>
      <w:r w:rsidRPr="00073AE2">
        <w:rPr>
          <w:rFonts w:ascii="Arial" w:hAnsi="Arial" w:cs="Arial"/>
          <w:b/>
          <w:bCs/>
          <w:color w:val="333333"/>
          <w:u w:val="single"/>
          <w:shd w:val="clear" w:color="auto" w:fill="FFFFFF"/>
        </w:rPr>
        <w:t>secara</w:t>
      </w:r>
      <w:proofErr w:type="spellEnd"/>
      <w:r w:rsidRPr="00073AE2">
        <w:rPr>
          <w:rFonts w:ascii="Arial" w:hAnsi="Arial" w:cs="Arial"/>
          <w:b/>
          <w:bCs/>
          <w:color w:val="333333"/>
          <w:u w:val="single"/>
          <w:shd w:val="clear" w:color="auto" w:fill="FFFFFF"/>
        </w:rPr>
        <w:t xml:space="preserve"> </w:t>
      </w:r>
      <w:proofErr w:type="spellStart"/>
      <w:r w:rsidRPr="00073AE2">
        <w:rPr>
          <w:rFonts w:ascii="Arial" w:hAnsi="Arial" w:cs="Arial"/>
          <w:b/>
          <w:bCs/>
          <w:color w:val="333333"/>
          <w:u w:val="single"/>
          <w:shd w:val="clear" w:color="auto" w:fill="FFFFFF"/>
        </w:rPr>
        <w:t>terpisah</w:t>
      </w:r>
      <w:proofErr w:type="spellEnd"/>
      <w:r w:rsidRPr="00073AE2">
        <w:rPr>
          <w:rFonts w:ascii="Arial" w:hAnsi="Arial" w:cs="Arial"/>
          <w:b/>
          <w:bCs/>
          <w:color w:val="333333"/>
          <w:u w:val="single"/>
          <w:shd w:val="clear" w:color="auto" w:fill="FFFFFF"/>
        </w:rPr>
        <w:t>)</w:t>
      </w:r>
      <w:bookmarkStart w:id="0" w:name="_GoBack"/>
      <w:bookmarkEnd w:id="0"/>
    </w:p>
    <w:p w14:paraId="70C0BB09" w14:textId="4635CF51" w:rsidR="00073AE2" w:rsidRDefault="00073AE2">
      <w:r>
        <w:rPr>
          <w:rFonts w:ascii="Arial" w:hAnsi="Arial" w:cs="Arial"/>
          <w:color w:val="333333"/>
          <w:shd w:val="clear" w:color="auto" w:fill="FFFFFF"/>
        </w:rPr>
        <w:t>4</w:t>
      </w:r>
      <w:r>
        <w:rPr>
          <w:rFonts w:ascii="Arial" w:hAnsi="Arial" w:cs="Arial"/>
          <w:color w:val="333333"/>
          <w:shd w:val="clear" w:color="auto" w:fill="FFFFFF"/>
        </w:rPr>
        <w:t>、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Lokasi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pelaksanaan</w:t>
      </w:r>
      <w:proofErr w:type="spellEnd"/>
      <w:proofErr w:type="gramEnd"/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(1)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Penerima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vaksinasi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adalah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mereka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berada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Lapas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Rutan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lokasi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pelaksanaan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vaksinasi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pusat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penampungan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skala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besar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dari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Biro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Imigrasi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(2)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Penerima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vaksinasi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adalah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mereka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menyerahkan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diri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mereka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dalam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masa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percobaan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mereka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belum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diperiksa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atau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diadili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lokasi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vaksinasi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klinik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institusi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medis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khusus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kotamadya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kabupaten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kota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) yang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ditentukan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oleh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Pusat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Pengendalian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Pencegahan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Penyakit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(CDC),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atau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tempat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lain yang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ditunjuk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seperti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tempat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ibadah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tempat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disediakan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oleh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LSM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dll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5</w:t>
      </w:r>
      <w:r>
        <w:rPr>
          <w:rFonts w:ascii="Arial" w:hAnsi="Arial" w:cs="Arial"/>
          <w:color w:val="333333"/>
          <w:shd w:val="clear" w:color="auto" w:fill="FFFFFF"/>
        </w:rPr>
        <w:t>、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Konten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Promosi</w:t>
      </w:r>
      <w:proofErr w:type="spellEnd"/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(1)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Jika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Anda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adalah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Pekerja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Migran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berstatus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kehilangan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kontak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atau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masa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lastRenderedPageBreak/>
        <w:t>izin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tinggal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sudah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habis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kami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mengimbau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Anda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hari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segera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menghubungi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Lembaga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Sosial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Masyarakat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LSM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seperti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Keuskupan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Agung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Taipei,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Asosiasi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Chinese Muslim,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Asosiasi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Pembangunan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Masyarakat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Berkelanjutan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ROC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lainnya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melakukan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“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pendaftaran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vaksinasi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COVID-19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publik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”,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setelah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itu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berdasarkan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waktu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diberitahukan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mendatangi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klinik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khusus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atau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tempat-tempat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ditentukan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kotamadya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kabupaten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kota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) yang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ditetapkan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penyuntikan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vaksin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membawa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paspor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ARC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dokumen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indentitas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diri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lainnya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(2)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Anda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tidak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akan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diselidiki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karena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pendaftaran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vaksinasi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institusi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medis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juga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tidak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melaporkan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kepada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polisi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atau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badan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keamanan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publik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lainnya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melakukan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penyelidikan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selain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itu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penyuntikan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vaksin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tidak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dikenakan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biaya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apapun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(3)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Jika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memiliki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pertanyaan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terkait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pendaftaran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vaksinasi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COVID-19,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silakan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menghubungi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Kementerian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Ketenagakerajaan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atau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Biro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Imigrasi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setempat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konsultasi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</w:p>
    <w:sectPr w:rsidR="00073AE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EDD6E" w14:textId="77777777" w:rsidR="00EA3BE6" w:rsidRDefault="00EA3BE6" w:rsidP="00847BC5">
      <w:r>
        <w:separator/>
      </w:r>
    </w:p>
  </w:endnote>
  <w:endnote w:type="continuationSeparator" w:id="0">
    <w:p w14:paraId="68D0DE71" w14:textId="77777777" w:rsidR="00EA3BE6" w:rsidRDefault="00EA3BE6" w:rsidP="0084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773812"/>
      <w:docPartObj>
        <w:docPartGallery w:val="Page Numbers (Bottom of Page)"/>
        <w:docPartUnique/>
      </w:docPartObj>
    </w:sdtPr>
    <w:sdtEndPr/>
    <w:sdtContent>
      <w:p w14:paraId="1FCE9CF2" w14:textId="77777777" w:rsidR="00847BC5" w:rsidRDefault="00847B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893" w:rsidRPr="00966893">
          <w:rPr>
            <w:noProof/>
            <w:lang w:val="zh-TW"/>
          </w:rPr>
          <w:t>2</w:t>
        </w:r>
        <w:r>
          <w:fldChar w:fldCharType="end"/>
        </w:r>
      </w:p>
    </w:sdtContent>
  </w:sdt>
  <w:p w14:paraId="5467B72C" w14:textId="77777777" w:rsidR="00847BC5" w:rsidRDefault="00847B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C60AD" w14:textId="77777777" w:rsidR="00EA3BE6" w:rsidRDefault="00EA3BE6" w:rsidP="00847BC5">
      <w:r>
        <w:separator/>
      </w:r>
    </w:p>
  </w:footnote>
  <w:footnote w:type="continuationSeparator" w:id="0">
    <w:p w14:paraId="027B2992" w14:textId="77777777" w:rsidR="00EA3BE6" w:rsidRDefault="00EA3BE6" w:rsidP="00847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5301"/>
    <w:multiLevelType w:val="hybridMultilevel"/>
    <w:tmpl w:val="33A0D0B8"/>
    <w:lvl w:ilvl="0" w:tplc="25AA31F0">
      <w:start w:val="5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7C75C6"/>
    <w:multiLevelType w:val="hybridMultilevel"/>
    <w:tmpl w:val="85209FB4"/>
    <w:lvl w:ilvl="0" w:tplc="B5ECB1B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3E6A1868"/>
    <w:multiLevelType w:val="hybridMultilevel"/>
    <w:tmpl w:val="F008E8FE"/>
    <w:lvl w:ilvl="0" w:tplc="19A64738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b w:val="0"/>
        <w:bCs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415CB7"/>
    <w:multiLevelType w:val="hybridMultilevel"/>
    <w:tmpl w:val="653ACCD4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8AE27D2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0C1812"/>
    <w:multiLevelType w:val="hybridMultilevel"/>
    <w:tmpl w:val="0554DFAC"/>
    <w:lvl w:ilvl="0" w:tplc="601CAAC4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b w:val="0"/>
        <w:bCs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DF230B"/>
    <w:multiLevelType w:val="hybridMultilevel"/>
    <w:tmpl w:val="18049B54"/>
    <w:lvl w:ilvl="0" w:tplc="10AAB066">
      <w:start w:val="3"/>
      <w:numFmt w:val="taiwaneseCountingThousand"/>
      <w:lvlText w:val="%1、"/>
      <w:lvlJc w:val="left"/>
      <w:pPr>
        <w:ind w:left="12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31129B"/>
    <w:multiLevelType w:val="hybridMultilevel"/>
    <w:tmpl w:val="F06860DA"/>
    <w:lvl w:ilvl="0" w:tplc="0C1E3E3C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b w:val="0"/>
        <w:bCs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C5"/>
    <w:rsid w:val="00073AE2"/>
    <w:rsid w:val="001038D5"/>
    <w:rsid w:val="00125667"/>
    <w:rsid w:val="001B7EFF"/>
    <w:rsid w:val="001E6CD0"/>
    <w:rsid w:val="00247630"/>
    <w:rsid w:val="002C7DD0"/>
    <w:rsid w:val="00313A68"/>
    <w:rsid w:val="003549EB"/>
    <w:rsid w:val="004A1EC9"/>
    <w:rsid w:val="004E77FC"/>
    <w:rsid w:val="00572687"/>
    <w:rsid w:val="005905D8"/>
    <w:rsid w:val="005C6B35"/>
    <w:rsid w:val="00660D25"/>
    <w:rsid w:val="0068192F"/>
    <w:rsid w:val="00682CD7"/>
    <w:rsid w:val="006D0EE5"/>
    <w:rsid w:val="00714236"/>
    <w:rsid w:val="00837EA7"/>
    <w:rsid w:val="0084055B"/>
    <w:rsid w:val="00847BC5"/>
    <w:rsid w:val="00880CC2"/>
    <w:rsid w:val="00886B99"/>
    <w:rsid w:val="008F5EDF"/>
    <w:rsid w:val="008F6416"/>
    <w:rsid w:val="008F66AF"/>
    <w:rsid w:val="00966893"/>
    <w:rsid w:val="00985235"/>
    <w:rsid w:val="00AF4C0F"/>
    <w:rsid w:val="00B756EF"/>
    <w:rsid w:val="00C23598"/>
    <w:rsid w:val="00C322EB"/>
    <w:rsid w:val="00C41B3B"/>
    <w:rsid w:val="00C631A1"/>
    <w:rsid w:val="00C66CAD"/>
    <w:rsid w:val="00CB4732"/>
    <w:rsid w:val="00CC2742"/>
    <w:rsid w:val="00D8257F"/>
    <w:rsid w:val="00DB1AC2"/>
    <w:rsid w:val="00DB628C"/>
    <w:rsid w:val="00DD52C4"/>
    <w:rsid w:val="00E750F8"/>
    <w:rsid w:val="00E805EB"/>
    <w:rsid w:val="00EA3BE6"/>
    <w:rsid w:val="00FA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C08C2"/>
  <w15:docId w15:val="{B34C55FE-9A9D-4330-86B9-35C7728A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73AE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BC5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1">
    <w:name w:val="字元 字元 字元 字元 字元 字元 字元 字元2 字元 字元 字元 字元"/>
    <w:basedOn w:val="a"/>
    <w:rsid w:val="00847BC5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847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7B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7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7BC5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805E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073AE2"/>
    <w:rPr>
      <w:rFonts w:ascii="Times New Roman" w:eastAsia="Times New Roman" w:hAnsi="Times New Roman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林勤淵</dc:creator>
  <cp:keywords/>
  <dc:description/>
  <cp:lastModifiedBy>趙湘怡</cp:lastModifiedBy>
  <cp:revision>10</cp:revision>
  <dcterms:created xsi:type="dcterms:W3CDTF">2021-12-03T09:22:00Z</dcterms:created>
  <dcterms:modified xsi:type="dcterms:W3CDTF">2022-01-28T03:08:00Z</dcterms:modified>
</cp:coreProperties>
</file>