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0D" w:rsidRDefault="00C6406D">
      <w:bookmarkStart w:id="0" w:name="_GoBack"/>
      <w:bookmarkEnd w:id="0"/>
      <w:r>
        <w:t xml:space="preserve">                QUESTION AND ANSWER ON RULING SYSTEM</w:t>
      </w:r>
    </w:p>
    <w:p w:rsidR="00C6406D" w:rsidRDefault="00C640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406D" w:rsidRDefault="00C6406D"/>
    <w:p w:rsidR="00C6406D" w:rsidRDefault="00C6406D">
      <w:r>
        <w:tab/>
      </w:r>
      <w:r>
        <w:tab/>
      </w:r>
      <w:r>
        <w:tab/>
      </w:r>
      <w:r>
        <w:tab/>
      </w:r>
      <w:r>
        <w:tab/>
        <w:t xml:space="preserve">            FINANCIAL SUPERVISION AND MANAGEMENT COMMITTEE</w:t>
      </w:r>
    </w:p>
    <w:p w:rsidR="00C55B02" w:rsidRDefault="00C640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JUNE 2018</w:t>
      </w:r>
    </w:p>
    <w:p w:rsidR="00C55B02" w:rsidRDefault="00C55B02"/>
    <w:p w:rsidR="00C55B02" w:rsidRPr="00A244A1" w:rsidRDefault="00C55B02" w:rsidP="00C55B02">
      <w:r w:rsidRPr="00A244A1">
        <w:t>Q: What is the promissory note?</w:t>
      </w:r>
    </w:p>
    <w:p w:rsidR="00C55B02" w:rsidRPr="00A244A1" w:rsidRDefault="00C55B02" w:rsidP="00C55B02">
      <w:r w:rsidRPr="00A244A1">
        <w:t>A</w:t>
      </w:r>
      <w:r w:rsidR="00813B46" w:rsidRPr="00A244A1">
        <w:t>: According to Article 3 of the</w:t>
      </w:r>
      <w:r w:rsidRPr="00A244A1">
        <w:t xml:space="preserve"> Negotiable Instruments</w:t>
      </w:r>
      <w:r w:rsidR="006C071A">
        <w:t xml:space="preserve"> </w:t>
      </w:r>
      <w:r w:rsidR="00570BFC" w:rsidRPr="00A244A1">
        <w:t>(thereinafter referred to as “the Act”)</w:t>
      </w:r>
      <w:r w:rsidRPr="00A244A1">
        <w:t>,</w:t>
      </w:r>
      <w:r w:rsidR="00570BFC" w:rsidRPr="00A244A1">
        <w:t>A promissory note is a negotiable instrument signed and issued by the maker engaging himself to pay unconditionally at a fixed future date a sum certain in money to the payee or holder.</w:t>
      </w:r>
    </w:p>
    <w:p w:rsidR="00C55B02" w:rsidRPr="00A244A1" w:rsidRDefault="00C55B02" w:rsidP="00C55B02"/>
    <w:p w:rsidR="00C55B02" w:rsidRPr="00A244A1" w:rsidRDefault="00C55B02" w:rsidP="00C55B02">
      <w:r w:rsidRPr="00A244A1">
        <w:t xml:space="preserve">Q: Is there a fixed size </w:t>
      </w:r>
      <w:r w:rsidR="00570BFC" w:rsidRPr="00A244A1">
        <w:t xml:space="preserve">and </w:t>
      </w:r>
      <w:r w:rsidRPr="00A244A1">
        <w:t>format for the promissory note (</w:t>
      </w:r>
      <w:r w:rsidR="00A44FC9" w:rsidRPr="00A244A1">
        <w:t xml:space="preserve">such as </w:t>
      </w:r>
      <w:r w:rsidR="00D967F3" w:rsidRPr="00A244A1">
        <w:t>the</w:t>
      </w:r>
      <w:r w:rsidR="00D967F3" w:rsidRPr="00A244A1">
        <w:rPr>
          <w:rFonts w:hint="eastAsia"/>
        </w:rPr>
        <w:t xml:space="preserve"> size of </w:t>
      </w:r>
      <w:r w:rsidR="00D967F3" w:rsidRPr="00A244A1">
        <w:t>c</w:t>
      </w:r>
      <w:r w:rsidR="00D5297E" w:rsidRPr="00A244A1">
        <w:rPr>
          <w:rFonts w:hint="eastAsia"/>
        </w:rPr>
        <w:t>heck</w:t>
      </w:r>
      <w:r w:rsidR="00D967F3" w:rsidRPr="00A244A1">
        <w:t>)</w:t>
      </w:r>
      <w:r w:rsidRPr="00A244A1">
        <w:t>?</w:t>
      </w:r>
    </w:p>
    <w:p w:rsidR="00C6406D" w:rsidRPr="00A244A1" w:rsidRDefault="00C55B02" w:rsidP="00C55B02">
      <w:r w:rsidRPr="00A244A1">
        <w:t xml:space="preserve">A: The </w:t>
      </w:r>
      <w:r w:rsidR="00570BFC" w:rsidRPr="00A244A1">
        <w:t>promissory note shall not be limited to</w:t>
      </w:r>
      <w:r w:rsidRPr="00A244A1">
        <w:t xml:space="preserve"> any format. Even if it is signed on general paper, </w:t>
      </w:r>
      <w:r w:rsidR="00FC7844" w:rsidRPr="00A244A1">
        <w:t>but</w:t>
      </w:r>
      <w:r w:rsidR="00813B46" w:rsidRPr="00A244A1">
        <w:rPr>
          <w:rFonts w:hint="eastAsia"/>
        </w:rPr>
        <w:t xml:space="preserve"> </w:t>
      </w:r>
      <w:r w:rsidRPr="00A244A1">
        <w:t xml:space="preserve">it </w:t>
      </w:r>
      <w:r w:rsidR="00FC7844" w:rsidRPr="00A244A1">
        <w:t>is wanting in any of the particulars required of the Article 120 by this Act.</w:t>
      </w:r>
      <w:r w:rsidR="00813B46" w:rsidRPr="00A244A1">
        <w:rPr>
          <w:rFonts w:hint="eastAsia"/>
        </w:rPr>
        <w:t xml:space="preserve"> </w:t>
      </w:r>
      <w:r w:rsidR="00AC1947" w:rsidRPr="00A244A1">
        <w:t xml:space="preserve">Moreover, </w:t>
      </w:r>
      <w:r w:rsidRPr="00A244A1">
        <w:t xml:space="preserve">it </w:t>
      </w:r>
      <w:r w:rsidR="00AC1947" w:rsidRPr="00A244A1">
        <w:t xml:space="preserve">must be </w:t>
      </w:r>
      <w:r w:rsidRPr="00A244A1">
        <w:t xml:space="preserve">completes the </w:t>
      </w:r>
      <w:r w:rsidR="00AC1947" w:rsidRPr="00A244A1">
        <w:t>invoice of promissory note</w:t>
      </w:r>
      <w:r w:rsidRPr="00A244A1">
        <w:t>.</w:t>
      </w:r>
      <w:r w:rsidR="00C6406D" w:rsidRPr="00A244A1">
        <w:tab/>
      </w:r>
    </w:p>
    <w:p w:rsidR="00976DE1" w:rsidRPr="00A244A1" w:rsidRDefault="00976DE1" w:rsidP="00C55B02"/>
    <w:p w:rsidR="00976DE1" w:rsidRPr="00A244A1" w:rsidRDefault="00976DE1" w:rsidP="00976DE1">
      <w:r w:rsidRPr="00A244A1">
        <w:t xml:space="preserve">Q: Does the </w:t>
      </w:r>
      <w:r w:rsidR="00512E55" w:rsidRPr="00A244A1">
        <w:t xml:space="preserve">informal </w:t>
      </w:r>
      <w:r w:rsidRPr="00A244A1">
        <w:t>promissory note have legal effect?</w:t>
      </w:r>
    </w:p>
    <w:p w:rsidR="00976DE1" w:rsidRPr="00A244A1" w:rsidRDefault="00976DE1" w:rsidP="00976DE1">
      <w:r w:rsidRPr="00A244A1">
        <w:t xml:space="preserve">A: </w:t>
      </w:r>
      <w:r w:rsidR="00D558B4" w:rsidRPr="00A244A1">
        <w:t>Following the previous questions</w:t>
      </w:r>
      <w:r w:rsidRPr="00A244A1">
        <w:t xml:space="preserve">, the paper </w:t>
      </w:r>
      <w:r w:rsidR="00D32783" w:rsidRPr="00A244A1">
        <w:t>who</w:t>
      </w:r>
      <w:r w:rsidR="009F102B" w:rsidRPr="00A244A1">
        <w:t xml:space="preserve"> sale</w:t>
      </w:r>
      <w:r w:rsidRPr="00A244A1">
        <w:t xml:space="preserve"> the promissory notes </w:t>
      </w:r>
      <w:r w:rsidR="00A72905" w:rsidRPr="00A244A1">
        <w:t xml:space="preserve">and </w:t>
      </w:r>
      <w:r w:rsidR="007D51CA" w:rsidRPr="00A244A1">
        <w:t>sold by the</w:t>
      </w:r>
      <w:r w:rsidRPr="00A244A1">
        <w:t xml:space="preserve"> Toy Store (commonly known as the "</w:t>
      </w:r>
      <w:r w:rsidR="00D558B4" w:rsidRPr="00A244A1">
        <w:t xml:space="preserve"> informal promissory note</w:t>
      </w:r>
      <w:r w:rsidRPr="00A244A1">
        <w:t>")</w:t>
      </w:r>
      <w:r w:rsidR="00A72905" w:rsidRPr="00A244A1">
        <w:t>.</w:t>
      </w:r>
      <w:r w:rsidR="008356A1" w:rsidRPr="00A244A1">
        <w:t xml:space="preserve">In addition, </w:t>
      </w:r>
      <w:r w:rsidR="00C16520" w:rsidRPr="00A244A1">
        <w:t>the promissory note</w:t>
      </w:r>
      <w:r w:rsidR="008356A1" w:rsidRPr="00A244A1">
        <w:t xml:space="preserve"> is wanting in any of particulars required </w:t>
      </w:r>
      <w:r w:rsidR="00C16520" w:rsidRPr="00A244A1">
        <w:t xml:space="preserve">by Negotiable Instruments Act. </w:t>
      </w:r>
      <w:r w:rsidRPr="00A244A1">
        <w:t>(</w:t>
      </w:r>
      <w:r w:rsidR="00964B35" w:rsidRPr="00A244A1">
        <w:t>Such</w:t>
      </w:r>
      <w:r w:rsidRPr="00A244A1">
        <w:t xml:space="preserve"> as: amount</w:t>
      </w:r>
      <w:r w:rsidR="008D2C66" w:rsidRPr="00A244A1">
        <w:t xml:space="preserve"> of money</w:t>
      </w:r>
      <w:r w:rsidRPr="00A244A1">
        <w:t xml:space="preserve">, </w:t>
      </w:r>
      <w:r w:rsidR="008D2C66" w:rsidRPr="00A244A1">
        <w:t>issue date</w:t>
      </w:r>
      <w:r w:rsidRPr="00A244A1">
        <w:t xml:space="preserve">, </w:t>
      </w:r>
      <w:r w:rsidR="008D2C66" w:rsidRPr="00A244A1">
        <w:t>drawer</w:t>
      </w:r>
      <w:r w:rsidRPr="00A244A1">
        <w:t xml:space="preserve">, etc.), </w:t>
      </w:r>
      <w:r w:rsidR="009E2428" w:rsidRPr="00A244A1">
        <w:t xml:space="preserve">when the qualifications of promissory note </w:t>
      </w:r>
      <w:r w:rsidRPr="00A244A1">
        <w:t>are fully completed,</w:t>
      </w:r>
      <w:r w:rsidR="009E2428" w:rsidRPr="00A244A1">
        <w:t xml:space="preserve"> the promissory note </w:t>
      </w:r>
      <w:r w:rsidR="00513CB5" w:rsidRPr="00A244A1">
        <w:t xml:space="preserve">must </w:t>
      </w:r>
      <w:r w:rsidR="009E2428" w:rsidRPr="00A244A1">
        <w:t>takes effect</w:t>
      </w:r>
      <w:r w:rsidR="00513CB5" w:rsidRPr="00A244A1">
        <w:t>.</w:t>
      </w:r>
      <w:r w:rsidRPr="00A244A1">
        <w:t xml:space="preserve"> Therefore, </w:t>
      </w:r>
      <w:r w:rsidR="009F102B" w:rsidRPr="00A244A1">
        <w:t>it must be careful</w:t>
      </w:r>
      <w:r w:rsidR="003558FE" w:rsidRPr="00A244A1">
        <w:t xml:space="preserve"> </w:t>
      </w:r>
      <w:r w:rsidR="00FF5380" w:rsidRPr="00A244A1">
        <w:t>when</w:t>
      </w:r>
      <w:r w:rsidR="00F7312B" w:rsidRPr="00A244A1">
        <w:t xml:space="preserve"> you signed and issued the informal </w:t>
      </w:r>
      <w:r w:rsidR="003558FE" w:rsidRPr="00A244A1">
        <w:t>promissory note, it mai</w:t>
      </w:r>
      <w:r w:rsidR="007D51CA" w:rsidRPr="00A244A1">
        <w:t>ntain own rights and interests.</w:t>
      </w:r>
    </w:p>
    <w:p w:rsidR="000B32F6" w:rsidRPr="00A244A1" w:rsidRDefault="000B32F6" w:rsidP="00976DE1"/>
    <w:p w:rsidR="000B32F6" w:rsidRPr="00A244A1" w:rsidRDefault="000B32F6" w:rsidP="000B32F6">
      <w:r w:rsidRPr="00A244A1">
        <w:t>Q: What is the</w:t>
      </w:r>
      <w:r w:rsidR="00813B46" w:rsidRPr="00A244A1">
        <w:rPr>
          <w:rFonts w:hint="eastAsia"/>
        </w:rPr>
        <w:t xml:space="preserve"> </w:t>
      </w:r>
      <w:r w:rsidR="00F642A0" w:rsidRPr="00A244A1">
        <w:t>rul</w:t>
      </w:r>
      <w:r w:rsidR="004C54A2" w:rsidRPr="00A244A1">
        <w:t>ing on</w:t>
      </w:r>
      <w:r w:rsidR="00F642A0" w:rsidRPr="00A244A1">
        <w:t xml:space="preserve"> promissory note</w:t>
      </w:r>
      <w:r w:rsidR="009F102B" w:rsidRPr="00A244A1">
        <w:t xml:space="preserve">? </w:t>
      </w:r>
      <w:r w:rsidR="009F102B" w:rsidRPr="00A244A1">
        <w:rPr>
          <w:rFonts w:hint="eastAsia"/>
        </w:rPr>
        <w:t xml:space="preserve">Is it </w:t>
      </w:r>
      <w:r w:rsidR="009F102B" w:rsidRPr="00A244A1">
        <w:t>having</w:t>
      </w:r>
      <w:r w:rsidR="009F102B" w:rsidRPr="00A244A1">
        <w:rPr>
          <w:rFonts w:hint="eastAsia"/>
        </w:rPr>
        <w:t xml:space="preserve"> any effective?</w:t>
      </w:r>
      <w:r w:rsidR="009F102B" w:rsidRPr="00A244A1">
        <w:t xml:space="preserve"> </w:t>
      </w:r>
    </w:p>
    <w:p w:rsidR="000B32F6" w:rsidRPr="00A244A1" w:rsidRDefault="000B32F6" w:rsidP="000B32F6">
      <w:r w:rsidRPr="00A244A1">
        <w:t>A: The alleged promissory note is stipulated in Article 123 of the</w:t>
      </w:r>
      <w:r w:rsidR="009E3B0C" w:rsidRPr="00A244A1">
        <w:t xml:space="preserve"> Negotiable Instruments</w:t>
      </w:r>
      <w:r w:rsidRPr="00A244A1">
        <w:t xml:space="preserve">. </w:t>
      </w:r>
      <w:r w:rsidR="001D61F5" w:rsidRPr="00A244A1">
        <w:t>W</w:t>
      </w:r>
      <w:r w:rsidR="001D61F5" w:rsidRPr="00A244A1">
        <w:rPr>
          <w:rFonts w:hint="eastAsia"/>
        </w:rPr>
        <w:t>hen the holder would like to executive the right of recourse to the maker of the promissory note who need to appeal t</w:t>
      </w:r>
      <w:r w:rsidR="001D61F5" w:rsidRPr="00A244A1">
        <w:t>he</w:t>
      </w:r>
      <w:r w:rsidR="00C522E0" w:rsidRPr="00A244A1">
        <w:t xml:space="preserve"> court may compulsory executive from the holder</w:t>
      </w:r>
      <w:r w:rsidR="001D61F5" w:rsidRPr="00A244A1">
        <w:rPr>
          <w:rFonts w:hint="eastAsia"/>
        </w:rPr>
        <w:t>.</w:t>
      </w:r>
      <w:r w:rsidR="00676EF6" w:rsidRPr="00A244A1">
        <w:t xml:space="preserve"> </w:t>
      </w:r>
      <w:r w:rsidR="001D61F5" w:rsidRPr="00A244A1">
        <w:t>M</w:t>
      </w:r>
      <w:r w:rsidR="001D61F5" w:rsidRPr="00A244A1">
        <w:rPr>
          <w:rFonts w:hint="eastAsia"/>
        </w:rPr>
        <w:t>oreover, the</w:t>
      </w:r>
      <w:r w:rsidR="00676EF6" w:rsidRPr="00A244A1">
        <w:t xml:space="preserve"> </w:t>
      </w:r>
      <w:r w:rsidR="001D61F5" w:rsidRPr="00A244A1">
        <w:rPr>
          <w:rFonts w:hint="eastAsia"/>
        </w:rPr>
        <w:t xml:space="preserve">compulsory executive listed in the preceding items that means the holder obtained the name of the ruling on promissory note, </w:t>
      </w:r>
      <w:r w:rsidR="001D61F5" w:rsidRPr="00A244A1">
        <w:t>absolutely</w:t>
      </w:r>
      <w:r w:rsidR="001D61F5" w:rsidRPr="00A244A1">
        <w:rPr>
          <w:rFonts w:hint="eastAsia"/>
        </w:rPr>
        <w:t xml:space="preserve"> can appeal to </w:t>
      </w:r>
      <w:r w:rsidR="004959C9" w:rsidRPr="00A244A1">
        <w:rPr>
          <w:rFonts w:hint="eastAsia"/>
        </w:rPr>
        <w:t>the court to seize the property which is name of maker.</w:t>
      </w:r>
      <w:r w:rsidR="007A0266" w:rsidRPr="00A244A1">
        <w:t xml:space="preserve"> </w:t>
      </w:r>
      <w:r w:rsidRPr="00A244A1">
        <w:t xml:space="preserve">If there is no property available for </w:t>
      </w:r>
      <w:r w:rsidR="004959C9" w:rsidRPr="00A244A1">
        <w:t xml:space="preserve">execution under the name of </w:t>
      </w:r>
      <w:r w:rsidR="004959C9" w:rsidRPr="00A244A1">
        <w:rPr>
          <w:rFonts w:hint="eastAsia"/>
        </w:rPr>
        <w:t>maker</w:t>
      </w:r>
      <w:r w:rsidRPr="00A244A1">
        <w:t xml:space="preserve">, the court will issue the credit certificate to the </w:t>
      </w:r>
      <w:r w:rsidR="004959C9" w:rsidRPr="00A244A1">
        <w:rPr>
          <w:rFonts w:hint="eastAsia"/>
        </w:rPr>
        <w:t>holder</w:t>
      </w:r>
      <w:r w:rsidRPr="00A244A1">
        <w:t xml:space="preserve">, and the holder can use the credit certificate to enforce the property under the name of the </w:t>
      </w:r>
      <w:r w:rsidR="004959C9" w:rsidRPr="00A244A1">
        <w:rPr>
          <w:rFonts w:hint="eastAsia"/>
        </w:rPr>
        <w:t>maker</w:t>
      </w:r>
      <w:r w:rsidRPr="00A244A1">
        <w:t>.</w:t>
      </w:r>
    </w:p>
    <w:p w:rsidR="0070333D" w:rsidRPr="00A244A1" w:rsidRDefault="0070333D" w:rsidP="000B32F6"/>
    <w:p w:rsidR="0070333D" w:rsidRPr="00A244A1" w:rsidRDefault="0070333D" w:rsidP="000B32F6"/>
    <w:p w:rsidR="0070333D" w:rsidRPr="00A244A1" w:rsidRDefault="0070333D" w:rsidP="000B32F6"/>
    <w:p w:rsidR="0070333D" w:rsidRPr="00A244A1" w:rsidRDefault="0070333D" w:rsidP="000B32F6"/>
    <w:p w:rsidR="0070333D" w:rsidRPr="00A244A1" w:rsidRDefault="0070333D" w:rsidP="000B32F6"/>
    <w:p w:rsidR="0070333D" w:rsidRPr="00A244A1" w:rsidRDefault="0070333D" w:rsidP="000B32F6"/>
    <w:p w:rsidR="0070333D" w:rsidRPr="00A244A1" w:rsidRDefault="0070333D" w:rsidP="000B32F6"/>
    <w:p w:rsidR="0070333D" w:rsidRPr="00A244A1" w:rsidRDefault="0070333D" w:rsidP="000B32F6"/>
    <w:p w:rsidR="0070333D" w:rsidRPr="00A244A1" w:rsidRDefault="00813B46" w:rsidP="0070333D">
      <w:pPr>
        <w:rPr>
          <w:szCs w:val="24"/>
        </w:rPr>
      </w:pPr>
      <w:r w:rsidRPr="00A244A1">
        <w:rPr>
          <w:szCs w:val="24"/>
        </w:rPr>
        <w:lastRenderedPageBreak/>
        <w:t>Q: If the</w:t>
      </w:r>
      <w:r w:rsidRPr="00A244A1">
        <w:rPr>
          <w:rFonts w:hint="eastAsia"/>
          <w:szCs w:val="24"/>
        </w:rPr>
        <w:t xml:space="preserve"> citizen</w:t>
      </w:r>
      <w:r w:rsidR="0070333D" w:rsidRPr="00A244A1">
        <w:rPr>
          <w:szCs w:val="24"/>
        </w:rPr>
        <w:t xml:space="preserve"> is </w:t>
      </w:r>
      <w:r w:rsidR="00573367" w:rsidRPr="00A244A1">
        <w:rPr>
          <w:rFonts w:hint="eastAsia"/>
          <w:szCs w:val="24"/>
        </w:rPr>
        <w:t xml:space="preserve">suffered from </w:t>
      </w:r>
      <w:r w:rsidR="00573367" w:rsidRPr="00A244A1">
        <w:rPr>
          <w:szCs w:val="24"/>
        </w:rPr>
        <w:t>the ruling on promissory note compulsory</w:t>
      </w:r>
      <w:r w:rsidRPr="00A244A1">
        <w:rPr>
          <w:rFonts w:hint="eastAsia"/>
          <w:szCs w:val="24"/>
        </w:rPr>
        <w:t xml:space="preserve"> </w:t>
      </w:r>
      <w:r w:rsidR="00573367" w:rsidRPr="00A244A1">
        <w:rPr>
          <w:szCs w:val="24"/>
        </w:rPr>
        <w:t>executive</w:t>
      </w:r>
      <w:r w:rsidR="0070333D" w:rsidRPr="00A244A1">
        <w:rPr>
          <w:szCs w:val="24"/>
        </w:rPr>
        <w:t xml:space="preserve">, </w:t>
      </w:r>
      <w:r w:rsidR="00236E5B" w:rsidRPr="00A244A1">
        <w:rPr>
          <w:rFonts w:hint="eastAsia"/>
          <w:szCs w:val="24"/>
        </w:rPr>
        <w:t xml:space="preserve">and </w:t>
      </w:r>
      <w:r w:rsidR="0070333D" w:rsidRPr="00A244A1">
        <w:rPr>
          <w:szCs w:val="24"/>
        </w:rPr>
        <w:t xml:space="preserve">how can they </w:t>
      </w:r>
      <w:r w:rsidR="00711FDF" w:rsidRPr="00A244A1">
        <w:rPr>
          <w:rFonts w:hint="eastAsia"/>
          <w:szCs w:val="24"/>
        </w:rPr>
        <w:t xml:space="preserve">deal </w:t>
      </w:r>
      <w:r w:rsidR="0095584E" w:rsidRPr="00A244A1">
        <w:rPr>
          <w:rFonts w:hint="eastAsia"/>
          <w:szCs w:val="24"/>
        </w:rPr>
        <w:t xml:space="preserve">with this </w:t>
      </w:r>
      <w:r w:rsidR="00F72B3B" w:rsidRPr="00A244A1">
        <w:rPr>
          <w:szCs w:val="24"/>
        </w:rPr>
        <w:t>problem?</w:t>
      </w:r>
    </w:p>
    <w:p w:rsidR="0070333D" w:rsidRPr="00A244A1" w:rsidRDefault="0070333D" w:rsidP="0070333D">
      <w:pPr>
        <w:rPr>
          <w:szCs w:val="24"/>
        </w:rPr>
      </w:pPr>
      <w:r w:rsidRPr="00A244A1">
        <w:rPr>
          <w:szCs w:val="24"/>
        </w:rPr>
        <w:t>A:</w:t>
      </w:r>
    </w:p>
    <w:p w:rsidR="0070333D" w:rsidRPr="00A244A1" w:rsidRDefault="0070333D" w:rsidP="0070333D">
      <w:pPr>
        <w:rPr>
          <w:szCs w:val="24"/>
        </w:rPr>
      </w:pPr>
      <w:r w:rsidRPr="00A244A1">
        <w:rPr>
          <w:szCs w:val="24"/>
        </w:rPr>
        <w:t xml:space="preserve">1. Forfeiture or alteration of the promissory note: If the </w:t>
      </w:r>
      <w:r w:rsidR="00236E5B" w:rsidRPr="00A244A1">
        <w:rPr>
          <w:szCs w:val="24"/>
        </w:rPr>
        <w:t>maker</w:t>
      </w:r>
      <w:r w:rsidRPr="00A244A1">
        <w:rPr>
          <w:szCs w:val="24"/>
        </w:rPr>
        <w:t xml:space="preserve"> claims that the promissory note is for</w:t>
      </w:r>
      <w:r w:rsidR="00236E5B" w:rsidRPr="00A244A1">
        <w:rPr>
          <w:rFonts w:hint="eastAsia"/>
          <w:szCs w:val="24"/>
        </w:rPr>
        <w:t>feit</w:t>
      </w:r>
      <w:r w:rsidRPr="00A244A1">
        <w:rPr>
          <w:szCs w:val="24"/>
        </w:rPr>
        <w:t xml:space="preserve"> or altered, it may be filed within 20 days after receiving the ruling in accordance with the provisions of Articles 195, 1 and 2 of the </w:t>
      </w:r>
      <w:r w:rsidR="001F4921" w:rsidRPr="00A244A1">
        <w:rPr>
          <w:szCs w:val="24"/>
        </w:rPr>
        <w:t>Law Governing Non-Contentious Matters</w:t>
      </w:r>
      <w:r w:rsidRPr="00A244A1">
        <w:rPr>
          <w:szCs w:val="24"/>
        </w:rPr>
        <w:t xml:space="preserve">. At this time, the court should stop enforcement. If the holder provides a substantial guarantee, and continue to enforce, the </w:t>
      </w:r>
      <w:r w:rsidR="001F4921" w:rsidRPr="00A244A1">
        <w:rPr>
          <w:rFonts w:hint="eastAsia"/>
          <w:szCs w:val="24"/>
        </w:rPr>
        <w:t>maker</w:t>
      </w:r>
      <w:r w:rsidRPr="00A244A1">
        <w:rPr>
          <w:szCs w:val="24"/>
        </w:rPr>
        <w:t xml:space="preserve"> must also provide a considerable guarantee, to stop the enforcement.</w:t>
      </w:r>
    </w:p>
    <w:p w:rsidR="0070333D" w:rsidRPr="00A244A1" w:rsidRDefault="0070333D" w:rsidP="0070333D">
      <w:pPr>
        <w:rPr>
          <w:szCs w:val="24"/>
        </w:rPr>
      </w:pPr>
      <w:r w:rsidRPr="00A244A1">
        <w:rPr>
          <w:szCs w:val="24"/>
        </w:rPr>
        <w:t xml:space="preserve">2. The credit of the promissory note does not exist: if the </w:t>
      </w:r>
      <w:r w:rsidR="001F4921" w:rsidRPr="00A244A1">
        <w:rPr>
          <w:rFonts w:hint="eastAsia"/>
          <w:szCs w:val="24"/>
        </w:rPr>
        <w:t>maker</w:t>
      </w:r>
      <w:r w:rsidRPr="00A244A1">
        <w:rPr>
          <w:szCs w:val="24"/>
        </w:rPr>
        <w:t xml:space="preserve"> claims that the credit of the promissory note does not exist, in accordance with </w:t>
      </w:r>
      <w:r w:rsidR="001F4921" w:rsidRPr="00A244A1">
        <w:rPr>
          <w:rFonts w:hint="eastAsia"/>
          <w:szCs w:val="24"/>
        </w:rPr>
        <w:t>the paragraph</w:t>
      </w:r>
      <w:r w:rsidRPr="00A244A1">
        <w:rPr>
          <w:szCs w:val="24"/>
        </w:rPr>
        <w:t xml:space="preserve"> 3 of Article 195 of the </w:t>
      </w:r>
      <w:r w:rsidR="001F4921" w:rsidRPr="00A244A1">
        <w:rPr>
          <w:szCs w:val="24"/>
        </w:rPr>
        <w:t>Law Governing Non-Contentious Matters</w:t>
      </w:r>
      <w:r w:rsidR="001F4921" w:rsidRPr="00A244A1">
        <w:rPr>
          <w:rFonts w:hint="eastAsia"/>
          <w:szCs w:val="24"/>
        </w:rPr>
        <w:t xml:space="preserve"> that </w:t>
      </w:r>
      <w:r w:rsidR="001F4921" w:rsidRPr="00A244A1">
        <w:rPr>
          <w:szCs w:val="24"/>
        </w:rPr>
        <w:t xml:space="preserve">the court </w:t>
      </w:r>
      <w:r w:rsidRPr="00A244A1">
        <w:rPr>
          <w:szCs w:val="24"/>
        </w:rPr>
        <w:t xml:space="preserve">may grant the </w:t>
      </w:r>
      <w:r w:rsidR="001F4921" w:rsidRPr="00A244A1">
        <w:rPr>
          <w:rFonts w:hint="eastAsia"/>
          <w:szCs w:val="24"/>
        </w:rPr>
        <w:t>maker with</w:t>
      </w:r>
      <w:r w:rsidRPr="00A244A1">
        <w:rPr>
          <w:szCs w:val="24"/>
        </w:rPr>
        <w:t xml:space="preserve"> a comparable and tangible guarantee to stop the enforcement.</w:t>
      </w:r>
    </w:p>
    <w:p w:rsidR="0070333D" w:rsidRPr="00A244A1" w:rsidRDefault="0070333D" w:rsidP="0070333D">
      <w:pPr>
        <w:rPr>
          <w:szCs w:val="24"/>
        </w:rPr>
      </w:pPr>
    </w:p>
    <w:p w:rsidR="0070333D" w:rsidRPr="00A244A1" w:rsidRDefault="0070333D" w:rsidP="0070333D">
      <w:pPr>
        <w:rPr>
          <w:szCs w:val="24"/>
        </w:rPr>
      </w:pPr>
      <w:r w:rsidRPr="00A244A1">
        <w:rPr>
          <w:szCs w:val="24"/>
        </w:rPr>
        <w:t xml:space="preserve">Q: Are there any relevant legal </w:t>
      </w:r>
      <w:r w:rsidR="008A62AE" w:rsidRPr="00A244A1">
        <w:rPr>
          <w:rFonts w:hint="eastAsia"/>
          <w:szCs w:val="24"/>
        </w:rPr>
        <w:t>to support the measures</w:t>
      </w:r>
      <w:r w:rsidRPr="00A244A1">
        <w:rPr>
          <w:szCs w:val="24"/>
        </w:rPr>
        <w:t>?</w:t>
      </w:r>
    </w:p>
    <w:p w:rsidR="0070333D" w:rsidRPr="00A244A1" w:rsidRDefault="0070333D" w:rsidP="0070333D">
      <w:pPr>
        <w:rPr>
          <w:szCs w:val="24"/>
        </w:rPr>
      </w:pPr>
      <w:r w:rsidRPr="00A244A1">
        <w:rPr>
          <w:szCs w:val="24"/>
        </w:rPr>
        <w:t xml:space="preserve">A: According to Articles 107 and 110 of the </w:t>
      </w:r>
      <w:r w:rsidR="00E42597" w:rsidRPr="00A244A1">
        <w:rPr>
          <w:szCs w:val="24"/>
        </w:rPr>
        <w:t>Taiwan Code of Civil Procedure</w:t>
      </w:r>
      <w:r w:rsidRPr="00A244A1">
        <w:rPr>
          <w:szCs w:val="24"/>
        </w:rPr>
        <w:t>, if the parties are not able</w:t>
      </w:r>
      <w:r w:rsidR="00E42597" w:rsidRPr="00A244A1">
        <w:rPr>
          <w:szCs w:val="24"/>
        </w:rPr>
        <w:t xml:space="preserve"> to spend the litigation costs</w:t>
      </w:r>
      <w:r w:rsidR="00676EF6" w:rsidRPr="00A244A1">
        <w:rPr>
          <w:szCs w:val="24"/>
        </w:rPr>
        <w:t xml:space="preserve"> </w:t>
      </w:r>
      <w:r w:rsidR="00E42597" w:rsidRPr="00A244A1">
        <w:rPr>
          <w:rFonts w:hint="eastAsia"/>
          <w:szCs w:val="24"/>
        </w:rPr>
        <w:t>that</w:t>
      </w:r>
      <w:r w:rsidR="00676EF6" w:rsidRPr="00A244A1">
        <w:rPr>
          <w:szCs w:val="24"/>
        </w:rPr>
        <w:t xml:space="preserve"> </w:t>
      </w:r>
      <w:r w:rsidR="00E42597" w:rsidRPr="00A244A1">
        <w:rPr>
          <w:szCs w:val="24"/>
        </w:rPr>
        <w:t>the court shall</w:t>
      </w:r>
      <w:r w:rsidR="00676EF6" w:rsidRPr="00A244A1">
        <w:rPr>
          <w:szCs w:val="24"/>
        </w:rPr>
        <w:t xml:space="preserve"> </w:t>
      </w:r>
      <w:r w:rsidRPr="00A244A1">
        <w:rPr>
          <w:szCs w:val="24"/>
        </w:rPr>
        <w:t xml:space="preserve">decide to grant the litigation assistance. Before the end of the litigation, the mediation fees and the free of charge for litigation </w:t>
      </w:r>
      <w:r w:rsidR="00E42597" w:rsidRPr="00A244A1">
        <w:rPr>
          <w:szCs w:val="24"/>
        </w:rPr>
        <w:t>costs</w:t>
      </w:r>
      <w:r w:rsidRPr="00A244A1">
        <w:rPr>
          <w:szCs w:val="24"/>
        </w:rPr>
        <w:t xml:space="preserve"> may be temporarily exempted.</w:t>
      </w:r>
    </w:p>
    <w:p w:rsidR="0070333D" w:rsidRPr="00A244A1" w:rsidRDefault="0070333D" w:rsidP="000B32F6"/>
    <w:p w:rsidR="0070333D" w:rsidRPr="00A244A1" w:rsidRDefault="0070333D" w:rsidP="000B32F6"/>
    <w:p w:rsidR="0070333D" w:rsidRPr="00A244A1" w:rsidRDefault="0070333D" w:rsidP="000B32F6"/>
    <w:p w:rsidR="0070333D" w:rsidRPr="00A244A1" w:rsidRDefault="0070333D" w:rsidP="000B32F6"/>
    <w:p w:rsidR="0070333D" w:rsidRPr="00A244A1" w:rsidRDefault="0070333D" w:rsidP="000B32F6"/>
    <w:p w:rsidR="0070333D" w:rsidRPr="00A244A1" w:rsidRDefault="0070333D" w:rsidP="000B32F6"/>
    <w:p w:rsidR="0070333D" w:rsidRPr="00A244A1" w:rsidRDefault="0070333D" w:rsidP="000B32F6"/>
    <w:p w:rsidR="0070333D" w:rsidRPr="00A244A1" w:rsidRDefault="0070333D" w:rsidP="000B32F6"/>
    <w:p w:rsidR="0070333D" w:rsidRDefault="0070333D" w:rsidP="000B32F6"/>
    <w:p w:rsidR="0070333D" w:rsidRDefault="0070333D" w:rsidP="000B32F6"/>
    <w:p w:rsidR="0070333D" w:rsidRDefault="0070333D" w:rsidP="000B32F6"/>
    <w:p w:rsidR="0070333D" w:rsidRDefault="0070333D" w:rsidP="000B32F6"/>
    <w:p w:rsidR="0070333D" w:rsidRDefault="0070333D" w:rsidP="000B32F6"/>
    <w:p w:rsidR="0070333D" w:rsidRDefault="0070333D" w:rsidP="000B32F6"/>
    <w:p w:rsidR="0070333D" w:rsidRDefault="0070333D" w:rsidP="000B32F6"/>
    <w:p w:rsidR="0070333D" w:rsidRDefault="0070333D" w:rsidP="000B32F6"/>
    <w:p w:rsidR="0070333D" w:rsidRDefault="0070333D" w:rsidP="000B32F6"/>
    <w:p w:rsidR="0070333D" w:rsidRDefault="0070333D" w:rsidP="000B32F6"/>
    <w:p w:rsidR="0070333D" w:rsidRDefault="0070333D" w:rsidP="000B32F6"/>
    <w:p w:rsidR="0070333D" w:rsidRDefault="0070333D" w:rsidP="000B32F6"/>
    <w:p w:rsidR="0070333D" w:rsidRDefault="0070333D" w:rsidP="000B32F6"/>
    <w:p w:rsidR="00964B35" w:rsidRDefault="00964B35" w:rsidP="0070333D"/>
    <w:p w:rsidR="00964B35" w:rsidRDefault="00964B35" w:rsidP="0070333D"/>
    <w:p w:rsidR="0070333D" w:rsidRDefault="0070333D" w:rsidP="0070333D">
      <w:r>
        <w:lastRenderedPageBreak/>
        <w:t>Regulatory reference:</w:t>
      </w:r>
    </w:p>
    <w:p w:rsidR="0070333D" w:rsidRDefault="0070333D" w:rsidP="0070333D"/>
    <w:p w:rsidR="0070333D" w:rsidRPr="00A220D3" w:rsidRDefault="00D57BC5" w:rsidP="00F72B3B">
      <w:pPr>
        <w:ind w:firstLineChars="850" w:firstLine="2380"/>
        <w:rPr>
          <w:sz w:val="28"/>
        </w:rPr>
      </w:pPr>
      <w:r w:rsidRPr="00A220D3">
        <w:rPr>
          <w:sz w:val="28"/>
        </w:rPr>
        <w:t>Negotiable Instruments Act</w:t>
      </w:r>
    </w:p>
    <w:p w:rsidR="00D57BC5" w:rsidRDefault="00D57BC5" w:rsidP="0070333D">
      <w:pPr>
        <w:ind w:firstLineChars="400" w:firstLine="96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70333D" w:rsidTr="0070333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3D" w:rsidRDefault="0070333D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Article Number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3D" w:rsidRDefault="0070333D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Provision</w:t>
            </w:r>
          </w:p>
        </w:tc>
      </w:tr>
      <w:tr w:rsidR="0070333D" w:rsidTr="0070333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3D" w:rsidRDefault="0070333D">
            <w:pPr>
              <w:rPr>
                <w:lang w:bidi="ar-SA"/>
              </w:rPr>
            </w:pPr>
            <w:r>
              <w:rPr>
                <w:lang w:bidi="ar-SA"/>
              </w:rPr>
              <w:t>Article 3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3D" w:rsidRDefault="00D57BC5" w:rsidP="00D57BC5">
            <w:pPr>
              <w:pStyle w:val="HTML"/>
              <w:shd w:val="clear" w:color="auto" w:fill="FFFFFF"/>
              <w:tabs>
                <w:tab w:val="clear" w:pos="916"/>
                <w:tab w:val="left" w:pos="10"/>
              </w:tabs>
              <w:rPr>
                <w:rFonts w:asciiTheme="minorHAnsi" w:hAnsiTheme="minorHAnsi"/>
                <w:color w:val="000000"/>
                <w:kern w:val="2"/>
                <w:sz w:val="23"/>
                <w:szCs w:val="23"/>
              </w:rPr>
            </w:pPr>
            <w:r w:rsidRPr="00D57BC5">
              <w:rPr>
                <w:rFonts w:asciiTheme="minorHAnsi" w:hAnsiTheme="minorHAnsi"/>
                <w:color w:val="000000"/>
                <w:kern w:val="2"/>
                <w:sz w:val="23"/>
                <w:szCs w:val="23"/>
              </w:rPr>
              <w:tab/>
              <w:t>A promissory note is a negotiable instrument signed and issued by the maker engaging himself to pay unconditionally at a fixed future date a sum certain in money to the payee or holder.</w:t>
            </w:r>
          </w:p>
        </w:tc>
      </w:tr>
      <w:tr w:rsidR="0070333D" w:rsidTr="0070333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3D" w:rsidRDefault="0070333D">
            <w:pPr>
              <w:rPr>
                <w:lang w:bidi="ar-SA"/>
              </w:rPr>
            </w:pPr>
            <w:r>
              <w:rPr>
                <w:lang w:bidi="ar-SA"/>
              </w:rPr>
              <w:t>Article 120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3D" w:rsidRDefault="00D57BC5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kern w:val="2"/>
                <w:sz w:val="23"/>
                <w:szCs w:val="23"/>
              </w:rPr>
            </w:pPr>
            <w:r w:rsidRPr="00D57BC5">
              <w:rPr>
                <w:rFonts w:asciiTheme="minorHAnsi" w:hAnsiTheme="minorHAnsi"/>
                <w:color w:val="000000"/>
                <w:kern w:val="2"/>
                <w:sz w:val="23"/>
                <w:szCs w:val="23"/>
              </w:rPr>
              <w:t>A promissory note shall specify the following particulars and be signed by the maker:</w:t>
            </w:r>
            <w:r w:rsidRPr="00D57BC5">
              <w:rPr>
                <w:rFonts w:asciiTheme="minorHAnsi" w:hAnsiTheme="minorHAnsi"/>
                <w:color w:val="000000"/>
                <w:kern w:val="2"/>
                <w:sz w:val="23"/>
                <w:szCs w:val="23"/>
              </w:rPr>
              <w:br/>
              <w:t>1. Words expressing it to be a promissory note.</w:t>
            </w:r>
            <w:r w:rsidRPr="00D57BC5">
              <w:rPr>
                <w:rFonts w:asciiTheme="minorHAnsi" w:hAnsiTheme="minorHAnsi"/>
                <w:color w:val="000000"/>
                <w:kern w:val="2"/>
                <w:sz w:val="23"/>
                <w:szCs w:val="23"/>
              </w:rPr>
              <w:br/>
              <w:t>2. A sum certain in money.</w:t>
            </w:r>
            <w:r w:rsidRPr="00D57BC5">
              <w:rPr>
                <w:rFonts w:asciiTheme="minorHAnsi" w:hAnsiTheme="minorHAnsi"/>
                <w:color w:val="000000"/>
                <w:kern w:val="2"/>
                <w:sz w:val="23"/>
                <w:szCs w:val="23"/>
              </w:rPr>
              <w:br/>
              <w:t>3. Personal or business name of the payee.</w:t>
            </w:r>
            <w:r w:rsidRPr="00D57BC5">
              <w:rPr>
                <w:rFonts w:asciiTheme="minorHAnsi" w:hAnsiTheme="minorHAnsi"/>
                <w:color w:val="000000"/>
                <w:kern w:val="2"/>
                <w:sz w:val="23"/>
                <w:szCs w:val="23"/>
              </w:rPr>
              <w:br/>
              <w:t>4. An unconditional promise to pay.</w:t>
            </w:r>
            <w:r w:rsidRPr="00D57BC5">
              <w:rPr>
                <w:rFonts w:asciiTheme="minorHAnsi" w:hAnsiTheme="minorHAnsi"/>
                <w:color w:val="000000"/>
                <w:kern w:val="2"/>
                <w:sz w:val="23"/>
                <w:szCs w:val="23"/>
              </w:rPr>
              <w:br/>
              <w:t>5. Place where it is drawn.</w:t>
            </w:r>
            <w:r w:rsidRPr="00D57BC5">
              <w:rPr>
                <w:rFonts w:asciiTheme="minorHAnsi" w:hAnsiTheme="minorHAnsi"/>
                <w:color w:val="000000"/>
                <w:kern w:val="2"/>
                <w:sz w:val="23"/>
                <w:szCs w:val="23"/>
              </w:rPr>
              <w:br/>
              <w:t>6. Date of drawing.</w:t>
            </w:r>
            <w:r w:rsidRPr="00D57BC5">
              <w:rPr>
                <w:rFonts w:asciiTheme="minorHAnsi" w:hAnsiTheme="minorHAnsi"/>
                <w:color w:val="000000"/>
                <w:kern w:val="2"/>
                <w:sz w:val="23"/>
                <w:szCs w:val="23"/>
              </w:rPr>
              <w:br/>
              <w:t>7. Place of payment.</w:t>
            </w:r>
            <w:r w:rsidRPr="00D57BC5">
              <w:rPr>
                <w:rFonts w:asciiTheme="minorHAnsi" w:hAnsiTheme="minorHAnsi"/>
                <w:color w:val="000000"/>
                <w:kern w:val="2"/>
                <w:sz w:val="23"/>
                <w:szCs w:val="23"/>
              </w:rPr>
              <w:br/>
              <w:t>8. Date of maturity.</w:t>
            </w:r>
            <w:r w:rsidRPr="00D57BC5">
              <w:rPr>
                <w:rFonts w:asciiTheme="minorHAnsi" w:hAnsiTheme="minorHAnsi"/>
                <w:color w:val="000000"/>
                <w:kern w:val="2"/>
                <w:sz w:val="23"/>
                <w:szCs w:val="23"/>
              </w:rPr>
              <w:br/>
              <w:t>If a promissory note does not specify the date of maturity, it is deemed payable at sight.</w:t>
            </w:r>
            <w:r w:rsidRPr="00D57BC5">
              <w:rPr>
                <w:rFonts w:asciiTheme="minorHAnsi" w:hAnsiTheme="minorHAnsi"/>
                <w:color w:val="000000"/>
                <w:kern w:val="2"/>
                <w:sz w:val="23"/>
                <w:szCs w:val="23"/>
              </w:rPr>
              <w:br/>
              <w:t>If a promissory note does not specify the payee, it is payable to the holder.</w:t>
            </w:r>
            <w:r w:rsidRPr="00D57BC5">
              <w:rPr>
                <w:rFonts w:asciiTheme="minorHAnsi" w:hAnsiTheme="minorHAnsi"/>
                <w:color w:val="000000"/>
                <w:kern w:val="2"/>
                <w:sz w:val="23"/>
                <w:szCs w:val="23"/>
              </w:rPr>
              <w:br/>
              <w:t>If a promissory note does not specify the place where it is drawn, the place of business, domicile or residence of the maker shall be the place where it is drawn.</w:t>
            </w:r>
            <w:r w:rsidRPr="00D57BC5">
              <w:rPr>
                <w:rFonts w:asciiTheme="minorHAnsi" w:hAnsiTheme="minorHAnsi"/>
                <w:color w:val="000000"/>
                <w:kern w:val="2"/>
                <w:sz w:val="23"/>
                <w:szCs w:val="23"/>
              </w:rPr>
              <w:br/>
              <w:t>If a promissory note does not specify the place of payment, the place where it is drawn shall be the place of payment.</w:t>
            </w:r>
            <w:r w:rsidRPr="00D57BC5">
              <w:rPr>
                <w:rFonts w:asciiTheme="minorHAnsi" w:hAnsiTheme="minorHAnsi"/>
                <w:color w:val="000000"/>
                <w:kern w:val="2"/>
                <w:sz w:val="23"/>
                <w:szCs w:val="23"/>
              </w:rPr>
              <w:br/>
              <w:t>The sum of a promissory note payable at sight without specifying the payee shall be NT$500 or more.</w:t>
            </w:r>
          </w:p>
        </w:tc>
      </w:tr>
      <w:tr w:rsidR="0070333D" w:rsidTr="0070333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3D" w:rsidRDefault="0070333D">
            <w:pPr>
              <w:rPr>
                <w:lang w:bidi="ar-SA"/>
              </w:rPr>
            </w:pPr>
            <w:r>
              <w:rPr>
                <w:lang w:bidi="ar-SA"/>
              </w:rPr>
              <w:t>Article 123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3D" w:rsidRDefault="00D57BC5">
            <w:pPr>
              <w:pStyle w:val="HTML"/>
              <w:shd w:val="clear" w:color="auto" w:fill="FFFFFF"/>
              <w:rPr>
                <w:kern w:val="2"/>
              </w:rPr>
            </w:pPr>
            <w:r w:rsidRPr="00D57BC5">
              <w:rPr>
                <w:rFonts w:asciiTheme="minorHAnsi" w:hAnsiTheme="minorHAnsi"/>
                <w:color w:val="000000"/>
                <w:kern w:val="2"/>
                <w:sz w:val="23"/>
                <w:szCs w:val="23"/>
              </w:rPr>
              <w:t>In exercising his right of recourse against the maker of a promissory note, the holder may petition a competent court for a ruling granting compulsory execution.</w:t>
            </w:r>
          </w:p>
        </w:tc>
      </w:tr>
    </w:tbl>
    <w:p w:rsidR="0070333D" w:rsidRDefault="0070333D" w:rsidP="0070333D"/>
    <w:p w:rsidR="0070333D" w:rsidRDefault="0070333D" w:rsidP="0070333D">
      <w:pPr>
        <w:ind w:firstLineChars="400" w:firstLine="960"/>
      </w:pPr>
    </w:p>
    <w:p w:rsidR="0070333D" w:rsidRPr="0070333D" w:rsidRDefault="0070333D" w:rsidP="000B32F6"/>
    <w:sectPr w:rsidR="0070333D" w:rsidRPr="0070333D" w:rsidSect="00C6406D">
      <w:pgSz w:w="11906" w:h="16838"/>
      <w:pgMar w:top="568" w:right="849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3E" w:rsidRDefault="0035343E" w:rsidP="00570BFC">
      <w:r>
        <w:separator/>
      </w:r>
    </w:p>
  </w:endnote>
  <w:endnote w:type="continuationSeparator" w:id="0">
    <w:p w:rsidR="0035343E" w:rsidRDefault="0035343E" w:rsidP="0057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3E" w:rsidRDefault="0035343E" w:rsidP="00570BFC">
      <w:r>
        <w:separator/>
      </w:r>
    </w:p>
  </w:footnote>
  <w:footnote w:type="continuationSeparator" w:id="0">
    <w:p w:rsidR="0035343E" w:rsidRDefault="0035343E" w:rsidP="00570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0B"/>
    <w:rsid w:val="00004EFF"/>
    <w:rsid w:val="00011B7F"/>
    <w:rsid w:val="00055010"/>
    <w:rsid w:val="00056EFA"/>
    <w:rsid w:val="000B32F6"/>
    <w:rsid w:val="00100DCF"/>
    <w:rsid w:val="00127E8C"/>
    <w:rsid w:val="001D61F5"/>
    <w:rsid w:val="001F4921"/>
    <w:rsid w:val="00236E5B"/>
    <w:rsid w:val="003048F5"/>
    <w:rsid w:val="0035343E"/>
    <w:rsid w:val="003558FE"/>
    <w:rsid w:val="003D0E4C"/>
    <w:rsid w:val="003F3F61"/>
    <w:rsid w:val="00400F73"/>
    <w:rsid w:val="00402EBA"/>
    <w:rsid w:val="0045310D"/>
    <w:rsid w:val="004959C9"/>
    <w:rsid w:val="004C54A2"/>
    <w:rsid w:val="004F73FE"/>
    <w:rsid w:val="00512E55"/>
    <w:rsid w:val="00513CB5"/>
    <w:rsid w:val="00570BFC"/>
    <w:rsid w:val="005715DA"/>
    <w:rsid w:val="00573367"/>
    <w:rsid w:val="005C6353"/>
    <w:rsid w:val="0065500B"/>
    <w:rsid w:val="00676EF6"/>
    <w:rsid w:val="006C071A"/>
    <w:rsid w:val="0070333D"/>
    <w:rsid w:val="00711FDF"/>
    <w:rsid w:val="007228CB"/>
    <w:rsid w:val="007A0266"/>
    <w:rsid w:val="007D51CA"/>
    <w:rsid w:val="00813B46"/>
    <w:rsid w:val="008356A1"/>
    <w:rsid w:val="00876453"/>
    <w:rsid w:val="008A62AE"/>
    <w:rsid w:val="008C0C22"/>
    <w:rsid w:val="008D2C66"/>
    <w:rsid w:val="0091309B"/>
    <w:rsid w:val="0095584E"/>
    <w:rsid w:val="00964B35"/>
    <w:rsid w:val="00976DE1"/>
    <w:rsid w:val="009E2428"/>
    <w:rsid w:val="009E3B0C"/>
    <w:rsid w:val="009F102B"/>
    <w:rsid w:val="00A220D3"/>
    <w:rsid w:val="00A244A1"/>
    <w:rsid w:val="00A44FC9"/>
    <w:rsid w:val="00A705A7"/>
    <w:rsid w:val="00A72905"/>
    <w:rsid w:val="00AC1947"/>
    <w:rsid w:val="00B0689F"/>
    <w:rsid w:val="00B33D8D"/>
    <w:rsid w:val="00B439BC"/>
    <w:rsid w:val="00BA64EF"/>
    <w:rsid w:val="00C07F40"/>
    <w:rsid w:val="00C16520"/>
    <w:rsid w:val="00C522E0"/>
    <w:rsid w:val="00C55B02"/>
    <w:rsid w:val="00C6406D"/>
    <w:rsid w:val="00CD47EA"/>
    <w:rsid w:val="00D32783"/>
    <w:rsid w:val="00D46669"/>
    <w:rsid w:val="00D5297E"/>
    <w:rsid w:val="00D558B4"/>
    <w:rsid w:val="00D57BC5"/>
    <w:rsid w:val="00D967F3"/>
    <w:rsid w:val="00DE23A2"/>
    <w:rsid w:val="00E42597"/>
    <w:rsid w:val="00F642A0"/>
    <w:rsid w:val="00F72B3B"/>
    <w:rsid w:val="00F7312B"/>
    <w:rsid w:val="00F87159"/>
    <w:rsid w:val="00FC7844"/>
    <w:rsid w:val="00FF5380"/>
    <w:rsid w:val="00FF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34ADCB-358B-41D3-BE82-8D0AFF45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5B0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55B02"/>
  </w:style>
  <w:style w:type="paragraph" w:styleId="HTML">
    <w:name w:val="HTML Preformatted"/>
    <w:basedOn w:val="a"/>
    <w:link w:val="HTML0"/>
    <w:uiPriority w:val="99"/>
    <w:semiHidden/>
    <w:unhideWhenUsed/>
    <w:rsid w:val="007033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bidi="ar-SA"/>
    </w:rPr>
  </w:style>
  <w:style w:type="character" w:customStyle="1" w:styleId="HTML0">
    <w:name w:val="HTML 預設格式 字元"/>
    <w:basedOn w:val="a0"/>
    <w:link w:val="HTML"/>
    <w:uiPriority w:val="99"/>
    <w:semiHidden/>
    <w:rsid w:val="0070333D"/>
    <w:rPr>
      <w:rFonts w:ascii="細明體" w:eastAsia="細明體" w:hAnsi="細明體" w:cs="細明體"/>
      <w:kern w:val="0"/>
      <w:szCs w:val="24"/>
      <w:lang w:bidi="ar-SA"/>
    </w:rPr>
  </w:style>
  <w:style w:type="table" w:styleId="a5">
    <w:name w:val="Table Grid"/>
    <w:basedOn w:val="a1"/>
    <w:uiPriority w:val="39"/>
    <w:rsid w:val="0070333D"/>
    <w:rPr>
      <w:rFonts w:eastAsia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0BFC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首 字元"/>
    <w:basedOn w:val="a0"/>
    <w:link w:val="a6"/>
    <w:uiPriority w:val="99"/>
    <w:rsid w:val="00570BFC"/>
    <w:rPr>
      <w:sz w:val="20"/>
      <w:szCs w:val="25"/>
    </w:rPr>
  </w:style>
  <w:style w:type="paragraph" w:styleId="a8">
    <w:name w:val="footer"/>
    <w:basedOn w:val="a"/>
    <w:link w:val="a9"/>
    <w:uiPriority w:val="99"/>
    <w:unhideWhenUsed/>
    <w:rsid w:val="00570BFC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9">
    <w:name w:val="頁尾 字元"/>
    <w:basedOn w:val="a0"/>
    <w:link w:val="a8"/>
    <w:uiPriority w:val="99"/>
    <w:rsid w:val="00570BFC"/>
    <w:rPr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9E2428"/>
    <w:rPr>
      <w:rFonts w:asciiTheme="majorHAnsi" w:eastAsiaTheme="majorEastAsia" w:hAnsiTheme="majorHAnsi" w:cstheme="majorBidi"/>
      <w:sz w:val="18"/>
      <w:szCs w:val="22"/>
    </w:rPr>
  </w:style>
  <w:style w:type="character" w:customStyle="1" w:styleId="ab">
    <w:name w:val="註解方塊文字 字元"/>
    <w:basedOn w:val="a0"/>
    <w:link w:val="aa"/>
    <w:uiPriority w:val="99"/>
    <w:semiHidden/>
    <w:rsid w:val="009E2428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1955 csii</dc:creator>
  <cp:keywords/>
  <dc:description/>
  <cp:lastModifiedBy>chifang</cp:lastModifiedBy>
  <cp:revision>2</cp:revision>
  <cp:lastPrinted>2018-07-23T00:53:00Z</cp:lastPrinted>
  <dcterms:created xsi:type="dcterms:W3CDTF">2018-07-23T01:53:00Z</dcterms:created>
  <dcterms:modified xsi:type="dcterms:W3CDTF">2018-07-23T01:53:00Z</dcterms:modified>
</cp:coreProperties>
</file>